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139065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SeaStar Medical Holding Corporation</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133350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7" w:lineRule="exact"/>
        <w:rPr>
          <w:sz w:val="24"/>
          <w:szCs w:val="24"/>
          <w:color w:val="auto"/>
        </w:rPr>
      </w:pPr>
    </w:p>
    <w:tbl>
      <w:tblPr>
        <w:tblLayout w:type="fixed"/>
        <w:tblInd w:w="500" w:type="dxa"/>
        <w:tblCellMar>
          <w:top w:w="0" w:type="dxa"/>
          <w:left w:w="0" w:type="dxa"/>
          <w:bottom w:w="0" w:type="dxa"/>
          <w:right w:w="0" w:type="dxa"/>
        </w:tblCellMar>
      </w:tblPr>
      <w:tr>
        <w:trPr>
          <w:trHeight w:val="216"/>
        </w:trPr>
        <w:tc>
          <w:tcPr>
            <w:tcW w:w="35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2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001-39927</w:t>
            </w:r>
          </w:p>
        </w:tc>
        <w:tc>
          <w:tcPr>
            <w:tcW w:w="2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85-3681132</w:t>
            </w:r>
          </w:p>
        </w:tc>
      </w:tr>
      <w:tr>
        <w:trPr>
          <w:trHeight w:val="216"/>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52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52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3513 Brighton Blvd, Suite 410</w:t>
            </w:r>
          </w:p>
        </w:tc>
        <w:tc>
          <w:tcPr>
            <w:tcW w:w="35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6"/>
        </w:trPr>
        <w:tc>
          <w:tcPr>
            <w:tcW w:w="35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Denver, Colorado</w:t>
            </w:r>
          </w:p>
        </w:tc>
        <w:tc>
          <w:tcPr>
            <w:tcW w:w="3520" w:type="dxa"/>
            <w:vAlign w:val="bottom"/>
          </w:tcPr>
          <w:p>
            <w:pPr>
              <w:spacing w:after="0"/>
              <w:rPr>
                <w:sz w:val="18"/>
                <w:szCs w:val="18"/>
                <w:color w:val="auto"/>
              </w:rPr>
            </w:pPr>
          </w:p>
        </w:tc>
        <w:tc>
          <w:tcPr>
            <w:tcW w:w="2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80216</w:t>
            </w:r>
          </w:p>
        </w:tc>
      </w:tr>
      <w:tr>
        <w:trPr>
          <w:trHeight w:val="238"/>
        </w:trPr>
        <w:tc>
          <w:tcPr>
            <w:tcW w:w="358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520" w:type="dxa"/>
            <w:vAlign w:val="bottom"/>
          </w:tcPr>
          <w:p>
            <w:pPr>
              <w:spacing w:after="0"/>
              <w:rPr>
                <w:sz w:val="20"/>
                <w:szCs w:val="20"/>
                <w:color w:val="auto"/>
              </w:rPr>
            </w:pPr>
          </w:p>
        </w:tc>
        <w:tc>
          <w:tcPr>
            <w:tcW w:w="232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844 427-8100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131445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5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6"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18"/>
                <w:szCs w:val="18"/>
                <w:color w:val="auto"/>
              </w:rPr>
            </w:pPr>
          </w:p>
        </w:tc>
        <w:tc>
          <w:tcPr>
            <w:tcW w:w="4720" w:type="dxa"/>
            <w:vAlign w:val="bottom"/>
          </w:tcPr>
          <w:p>
            <w:pPr>
              <w:spacing w:after="0"/>
              <w:rPr>
                <w:sz w:val="18"/>
                <w:szCs w:val="18"/>
                <w:color w:val="auto"/>
              </w:rPr>
            </w:pPr>
          </w:p>
        </w:tc>
      </w:tr>
      <w:tr>
        <w:trPr>
          <w:trHeight w:val="238"/>
        </w:trPr>
        <w:tc>
          <w:tcPr>
            <w:tcW w:w="4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7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6"/>
                <w:szCs w:val="16"/>
                <w:color w:val="auto"/>
              </w:rPr>
            </w:pPr>
          </w:p>
        </w:tc>
        <w:tc>
          <w:tcPr>
            <w:tcW w:w="1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ICU</w:t>
            </w:r>
          </w:p>
        </w:tc>
        <w:tc>
          <w:tcPr>
            <w:tcW w:w="100" w:type="dxa"/>
            <w:vAlign w:val="bottom"/>
          </w:tcPr>
          <w:p>
            <w:pPr>
              <w:spacing w:after="0"/>
              <w:rPr>
                <w:sz w:val="16"/>
                <w:szCs w:val="16"/>
                <w:color w:val="auto"/>
              </w:rPr>
            </w:pPr>
          </w:p>
        </w:tc>
        <w:tc>
          <w:tcPr>
            <w:tcW w:w="4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each whole warrant exercisable for one share of</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ICUCW</w:t>
            </w:r>
          </w:p>
        </w:tc>
        <w:tc>
          <w:tcPr>
            <w:tcW w:w="10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for $11.50 per share</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 w:name="page2"/>
    <w:bookmarkEnd w:id="1"/>
    <w:p>
      <w:pPr>
        <w:ind w:left="20"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described in Item 5.07 below, on June 17, 2026, the annual meeting of stockholders (the “Annual Meeting”) of SeaStar Medical Holding Corporation (the “Company”) was held in order to, among other items, approve an amendment and restatement of the Company’s 2022 Omnibus Incentive Plan (the “2022 Equity Incentive Plan”) to increase the number of authorized shares of common stock, $0.0001 par value (the “Common Stock”) from 207,046 shares to 896,546 shares.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 summary of the 2022 Equity Incentive Plan is set forth in the Company’s definitive proxy statement filed with the Securities and Exchange Commission on April 29, 2026 (the “Proxy Statement”). That summary and the above description of the 2022 Equity Incentive Plan do not purport to be complete and are qualified in their entirety by reference to the 2022 Equity Incentive Plan, which is filed as Exhibit 10.1 to this Current Report on Form 8-K and is incorporated herein by reference.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left="20" w:right="340" w:firstLine="486"/>
        <w:spacing w:after="0" w:line="282" w:lineRule="auto"/>
        <w:rPr>
          <w:sz w:val="20"/>
          <w:szCs w:val="20"/>
          <w:color w:val="auto"/>
        </w:rPr>
      </w:pPr>
      <w:r>
        <w:rPr>
          <w:rFonts w:ascii="Times New Roman" w:cs="Times New Roman" w:eastAsia="Times New Roman" w:hAnsi="Times New Roman"/>
          <w:sz w:val="18"/>
          <w:szCs w:val="18"/>
          <w:color w:val="auto"/>
        </w:rPr>
        <w:t>The annual meeting of stockholders of the Company was held virtually on June 17, 2026 at 10:00 a.m., Mountain Time. The following proposals were approved by the stockholders, each by the votes set forth below:</w:t>
      </w:r>
    </w:p>
    <w:p>
      <w:pPr>
        <w:spacing w:after="0" w:line="158" w:lineRule="exact"/>
        <w:rPr>
          <w:sz w:val="20"/>
          <w:szCs w:val="20"/>
          <w:color w:val="auto"/>
        </w:rPr>
      </w:pPr>
    </w:p>
    <w:p>
      <w:pPr>
        <w:ind w:left="180" w:firstLine="30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1</w:t>
      </w:r>
      <w:r>
        <w:rPr>
          <w:rFonts w:ascii="Times New Roman" w:cs="Times New Roman" w:eastAsia="Times New Roman" w:hAnsi="Times New Roman"/>
          <w:sz w:val="18"/>
          <w:szCs w:val="18"/>
          <w:color w:val="auto"/>
        </w:rPr>
        <w:t>. To elect one Class I director to serve until the 2029 annual meeting of stockholders, or until his successor shall have been duly elected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qualified:</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340" w:type="dxa"/>
            <w:vAlign w:val="bottom"/>
          </w:tcPr>
          <w:p>
            <w:pPr>
              <w:spacing w:after="0"/>
              <w:rPr>
                <w:sz w:val="21"/>
                <w:szCs w:val="21"/>
                <w:color w:val="auto"/>
              </w:rPr>
            </w:pPr>
          </w:p>
        </w:tc>
        <w:tc>
          <w:tcPr>
            <w:tcW w:w="20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40" w:type="dxa"/>
            <w:vAlign w:val="bottom"/>
          </w:tcPr>
          <w:p>
            <w:pPr>
              <w:spacing w:after="0"/>
              <w:rPr>
                <w:sz w:val="21"/>
                <w:szCs w:val="21"/>
                <w:color w:val="auto"/>
              </w:rPr>
            </w:pPr>
          </w:p>
        </w:tc>
        <w:tc>
          <w:tcPr>
            <w:tcW w:w="2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40" w:type="dxa"/>
            <w:vAlign w:val="bottom"/>
          </w:tcPr>
          <w:p>
            <w:pPr>
              <w:spacing w:after="0"/>
              <w:rPr>
                <w:sz w:val="21"/>
                <w:szCs w:val="21"/>
                <w:color w:val="auto"/>
              </w:rPr>
            </w:pPr>
          </w:p>
        </w:tc>
        <w:tc>
          <w:tcPr>
            <w:tcW w:w="20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20" w:type="dxa"/>
            <w:vAlign w:val="bottom"/>
          </w:tcPr>
          <w:p>
            <w:pPr>
              <w:spacing w:after="0"/>
              <w:rPr>
                <w:sz w:val="21"/>
                <w:szCs w:val="21"/>
                <w:color w:val="auto"/>
              </w:rPr>
            </w:pPr>
          </w:p>
        </w:tc>
        <w:tc>
          <w:tcPr>
            <w:tcW w:w="1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20" w:type="dxa"/>
            <w:vAlign w:val="bottom"/>
          </w:tcPr>
          <w:p>
            <w:pPr>
              <w:spacing w:after="0"/>
              <w:rPr>
                <w:sz w:val="21"/>
                <w:szCs w:val="21"/>
                <w:color w:val="auto"/>
              </w:rPr>
            </w:pPr>
          </w:p>
        </w:tc>
      </w:tr>
      <w:tr>
        <w:trPr>
          <w:trHeight w:val="216"/>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John Neuman</w:t>
            </w:r>
          </w:p>
        </w:tc>
        <w:tc>
          <w:tcPr>
            <w:tcW w:w="27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757,141</w:t>
            </w:r>
          </w:p>
        </w:tc>
        <w:tc>
          <w:tcPr>
            <w:tcW w:w="2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23,212</w:t>
            </w:r>
          </w:p>
        </w:tc>
        <w:tc>
          <w:tcPr>
            <w:tcW w:w="2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4,829</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1,395,732</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left="180" w:firstLine="30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2</w:t>
      </w:r>
      <w:r>
        <w:rPr>
          <w:rFonts w:ascii="Times New Roman" w:cs="Times New Roman" w:eastAsia="Times New Roman" w:hAnsi="Times New Roman"/>
          <w:sz w:val="18"/>
          <w:szCs w:val="18"/>
          <w:color w:val="auto"/>
        </w:rPr>
        <w:t>. To approve an amendment and restatement of the Company’s 2022 Omnibus Incentive Plan to increase the number of authorized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Common Stock from 207,046, as adjusted for a January 5, 2026, 1-for-10 reverse stock split, to 896,546:</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26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00" w:type="dxa"/>
            <w:vAlign w:val="bottom"/>
          </w:tcPr>
          <w:p>
            <w:pPr>
              <w:spacing w:after="0"/>
              <w:rPr>
                <w:sz w:val="21"/>
                <w:szCs w:val="21"/>
                <w:color w:val="auto"/>
              </w:rPr>
            </w:pPr>
          </w:p>
        </w:tc>
        <w:tc>
          <w:tcPr>
            <w:tcW w:w="2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 w:type="dxa"/>
            <w:vAlign w:val="bottom"/>
          </w:tcPr>
          <w:p>
            <w:pPr>
              <w:spacing w:after="0"/>
              <w:rPr>
                <w:sz w:val="21"/>
                <w:szCs w:val="21"/>
                <w:color w:val="auto"/>
              </w:rPr>
            </w:pPr>
          </w:p>
        </w:tc>
        <w:tc>
          <w:tcPr>
            <w:tcW w:w="26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 w:type="dxa"/>
            <w:vAlign w:val="bottom"/>
          </w:tcPr>
          <w:p>
            <w:pPr>
              <w:spacing w:after="0"/>
              <w:rPr>
                <w:sz w:val="21"/>
                <w:szCs w:val="21"/>
                <w:color w:val="auto"/>
              </w:rPr>
            </w:pPr>
          </w:p>
        </w:tc>
        <w:tc>
          <w:tcPr>
            <w:tcW w:w="2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20" w:type="dxa"/>
            <w:vAlign w:val="bottom"/>
          </w:tcPr>
          <w:p>
            <w:pPr>
              <w:spacing w:after="0"/>
              <w:rPr>
                <w:sz w:val="21"/>
                <w:szCs w:val="21"/>
                <w:color w:val="auto"/>
              </w:rPr>
            </w:pPr>
          </w:p>
        </w:tc>
      </w:tr>
      <w:tr>
        <w:trPr>
          <w:trHeight w:val="216"/>
        </w:trPr>
        <w:tc>
          <w:tcPr>
            <w:tcW w:w="2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551,233</w:t>
            </w:r>
          </w:p>
        </w:tc>
        <w:tc>
          <w:tcPr>
            <w:tcW w:w="2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223,813</w:t>
            </w:r>
          </w:p>
        </w:tc>
        <w:tc>
          <w:tcPr>
            <w:tcW w:w="2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10,136</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1,395,732</w:t>
            </w:r>
          </w:p>
        </w:tc>
        <w:tc>
          <w:tcPr>
            <w:tcW w:w="20" w:type="dxa"/>
            <w:vAlign w:val="bottom"/>
          </w:tcPr>
          <w:p>
            <w:pPr>
              <w:spacing w:after="0"/>
              <w:rPr>
                <w:sz w:val="18"/>
                <w:szCs w:val="18"/>
                <w:color w:val="auto"/>
              </w:rPr>
            </w:pPr>
          </w:p>
        </w:tc>
      </w:tr>
    </w:tbl>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Proposal 3</w:t>
      </w:r>
      <w:r>
        <w:rPr>
          <w:rFonts w:ascii="Times New Roman" w:cs="Times New Roman" w:eastAsia="Times New Roman" w:hAnsi="Times New Roman"/>
          <w:sz w:val="18"/>
          <w:szCs w:val="18"/>
          <w:color w:val="auto"/>
        </w:rPr>
        <w:t>. To ratify the appointment of WithumSmith+Brown, PC as our independent registered public accounting firm for the fiscal year ending</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December 31, 2026:</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26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00" w:type="dxa"/>
            <w:vAlign w:val="bottom"/>
          </w:tcPr>
          <w:p>
            <w:pPr>
              <w:spacing w:after="0"/>
              <w:rPr>
                <w:sz w:val="21"/>
                <w:szCs w:val="21"/>
                <w:color w:val="auto"/>
              </w:rPr>
            </w:pPr>
          </w:p>
        </w:tc>
        <w:tc>
          <w:tcPr>
            <w:tcW w:w="2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 w:type="dxa"/>
            <w:vAlign w:val="bottom"/>
          </w:tcPr>
          <w:p>
            <w:pPr>
              <w:spacing w:after="0"/>
              <w:rPr>
                <w:sz w:val="21"/>
                <w:szCs w:val="21"/>
                <w:color w:val="auto"/>
              </w:rPr>
            </w:pPr>
          </w:p>
        </w:tc>
        <w:tc>
          <w:tcPr>
            <w:tcW w:w="26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 w:type="dxa"/>
            <w:vAlign w:val="bottom"/>
          </w:tcPr>
          <w:p>
            <w:pPr>
              <w:spacing w:after="0"/>
              <w:rPr>
                <w:sz w:val="21"/>
                <w:szCs w:val="21"/>
                <w:color w:val="auto"/>
              </w:rPr>
            </w:pPr>
          </w:p>
        </w:tc>
        <w:tc>
          <w:tcPr>
            <w:tcW w:w="25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20" w:type="dxa"/>
            <w:vAlign w:val="bottom"/>
          </w:tcPr>
          <w:p>
            <w:pPr>
              <w:spacing w:after="0"/>
              <w:rPr>
                <w:sz w:val="21"/>
                <w:szCs w:val="21"/>
                <w:color w:val="auto"/>
              </w:rPr>
            </w:pPr>
          </w:p>
        </w:tc>
      </w:tr>
      <w:tr>
        <w:trPr>
          <w:trHeight w:val="216"/>
        </w:trPr>
        <w:tc>
          <w:tcPr>
            <w:tcW w:w="2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2,151,096</w:t>
            </w:r>
          </w:p>
        </w:tc>
        <w:tc>
          <w:tcPr>
            <w:tcW w:w="2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22,746</w:t>
            </w:r>
          </w:p>
        </w:tc>
        <w:tc>
          <w:tcPr>
            <w:tcW w:w="2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7,072</w:t>
            </w:r>
          </w:p>
        </w:tc>
        <w:tc>
          <w:tcPr>
            <w:tcW w:w="2560" w:type="dxa"/>
            <w:vAlign w:val="bottom"/>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left="180" w:firstLine="30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4</w:t>
      </w:r>
      <w:r>
        <w:rPr>
          <w:rFonts w:ascii="Times New Roman" w:cs="Times New Roman" w:eastAsia="Times New Roman" w:hAnsi="Times New Roman"/>
          <w:sz w:val="18"/>
          <w:szCs w:val="18"/>
          <w:color w:val="auto"/>
        </w:rPr>
        <w:t>. To approve a proposal to adjourn or postpone the Annual Meeting to a later date or dates, if necessary, to permit further solicitation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of proxies if there are insufficient votes for, or otherwise in connection with, any of the proposals described above:</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26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00" w:type="dxa"/>
            <w:vAlign w:val="bottom"/>
          </w:tcPr>
          <w:p>
            <w:pPr>
              <w:spacing w:after="0"/>
              <w:rPr>
                <w:sz w:val="21"/>
                <w:szCs w:val="21"/>
                <w:color w:val="auto"/>
              </w:rPr>
            </w:pPr>
          </w:p>
        </w:tc>
        <w:tc>
          <w:tcPr>
            <w:tcW w:w="2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80" w:type="dxa"/>
            <w:vAlign w:val="bottom"/>
          </w:tcPr>
          <w:p>
            <w:pPr>
              <w:spacing w:after="0"/>
              <w:rPr>
                <w:sz w:val="21"/>
                <w:szCs w:val="21"/>
                <w:color w:val="auto"/>
              </w:rPr>
            </w:pPr>
          </w:p>
        </w:tc>
        <w:tc>
          <w:tcPr>
            <w:tcW w:w="26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 w:type="dxa"/>
            <w:vAlign w:val="bottom"/>
          </w:tcPr>
          <w:p>
            <w:pPr>
              <w:spacing w:after="0"/>
              <w:rPr>
                <w:sz w:val="21"/>
                <w:szCs w:val="21"/>
                <w:color w:val="auto"/>
              </w:rPr>
            </w:pPr>
          </w:p>
        </w:tc>
        <w:tc>
          <w:tcPr>
            <w:tcW w:w="25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20" w:type="dxa"/>
            <w:vAlign w:val="bottom"/>
          </w:tcPr>
          <w:p>
            <w:pPr>
              <w:spacing w:after="0"/>
              <w:rPr>
                <w:sz w:val="21"/>
                <w:szCs w:val="21"/>
                <w:color w:val="auto"/>
              </w:rPr>
            </w:pPr>
          </w:p>
        </w:tc>
      </w:tr>
      <w:tr>
        <w:trPr>
          <w:trHeight w:val="216"/>
        </w:trPr>
        <w:tc>
          <w:tcPr>
            <w:tcW w:w="2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2,035,262</w:t>
            </w:r>
          </w:p>
        </w:tc>
        <w:tc>
          <w:tcPr>
            <w:tcW w:w="2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123,747</w:t>
            </w:r>
          </w:p>
        </w:tc>
        <w:tc>
          <w:tcPr>
            <w:tcW w:w="2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21,905</w:t>
            </w:r>
          </w:p>
        </w:tc>
        <w:tc>
          <w:tcPr>
            <w:tcW w:w="2560" w:type="dxa"/>
            <w:vAlign w:val="bottom"/>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ind w:left="20"/>
        <w:spacing w:after="0" w:line="206" w:lineRule="auto"/>
        <w:tabs>
          <w:tab w:leader="none" w:pos="880" w:val="left"/>
        </w:tabs>
        <w:rPr>
          <w:sz w:val="20"/>
          <w:szCs w:val="20"/>
          <w:color w:val="auto"/>
        </w:rPr>
      </w:pPr>
      <w:r>
        <w:rPr>
          <w:rFonts w:ascii="Times New Roman" w:cs="Times New Roman" w:eastAsia="Times New Roman" w:hAnsi="Times New Roman"/>
          <w:sz w:val="36"/>
          <w:szCs w:val="36"/>
          <w:b w:val="1"/>
          <w:bCs w:val="1"/>
          <w:u w:val="single" w:color="auto"/>
          <w:color w:val="auto"/>
          <w:vertAlign w:val="superscript"/>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4445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u w:val="single" w:color="auto"/>
          <w:color w:val="0000EE"/>
        </w:rPr>
        <w:t>Amended and Restated SeaStar Medical Holding Corporation 2022 Omnibus Incentive Plan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79375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SeaStar Medical Holding Corporation</w:t>
            </w:r>
          </w:p>
        </w:tc>
      </w:tr>
      <w:tr>
        <w:trPr>
          <w:trHeight w:val="338"/>
        </w:trPr>
        <w:tc>
          <w:tcPr>
            <w:tcW w:w="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Schlorff</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June 17, 2026</w:t>
            </w:r>
          </w:p>
        </w:tc>
        <w:tc>
          <w:tcPr>
            <w:tcW w:w="26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Eric Schlorff</w:t>
            </w:r>
          </w:p>
        </w:tc>
      </w:tr>
      <w:tr>
        <w:trPr>
          <w:trHeight w:val="234"/>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6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2022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EFFECTIVE JUNE 17, 2026)</w:t>
      </w:r>
    </w:p>
    <w:p>
      <w:pPr>
        <w:spacing w:after="0" w:line="203" w:lineRule="exact"/>
        <w:rPr>
          <w:sz w:val="20"/>
          <w:szCs w:val="20"/>
          <w:color w:val="auto"/>
        </w:rPr>
      </w:pPr>
    </w:p>
    <w:p>
      <w:pPr>
        <w:ind w:left="660" w:hanging="396"/>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PLAN</w:t>
      </w:r>
    </w:p>
    <w:p>
      <w:pPr>
        <w:spacing w:after="0" w:line="229" w:lineRule="exact"/>
        <w:rPr>
          <w:sz w:val="20"/>
          <w:szCs w:val="20"/>
          <w:color w:val="auto"/>
        </w:rPr>
      </w:pPr>
    </w:p>
    <w:p>
      <w:pPr>
        <w:ind w:right="80" w:firstLine="450"/>
        <w:spacing w:after="0" w:line="261" w:lineRule="auto"/>
        <w:rPr>
          <w:sz w:val="20"/>
          <w:szCs w:val="20"/>
          <w:color w:val="auto"/>
        </w:rPr>
      </w:pPr>
      <w:r>
        <w:rPr>
          <w:rFonts w:ascii="Times New Roman" w:cs="Times New Roman" w:eastAsia="Times New Roman" w:hAnsi="Times New Roman"/>
          <w:sz w:val="18"/>
          <w:szCs w:val="18"/>
          <w:color w:val="auto"/>
        </w:rPr>
        <w:t>The Plan is intended to promote the interests of the Company by providing eligible persons in the Company’s service with the opportunity to acquire a proprietary interest, or otherwise increase their proprietary interest, in the Company, or receive monetary payments based on the value of the Company’s common stock, in each case as an incentive for them to continue in such service and to align their interests with the interests of the Company’s stockholders.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Capitalized terms shall have the meanings assigned to such terms in the attached Appendix.</w:t>
      </w:r>
    </w:p>
    <w:p>
      <w:pPr>
        <w:spacing w:after="0" w:line="221" w:lineRule="exact"/>
        <w:rPr>
          <w:sz w:val="20"/>
          <w:szCs w:val="20"/>
          <w:color w:val="auto"/>
        </w:rPr>
      </w:pPr>
    </w:p>
    <w:p>
      <w:pPr>
        <w:ind w:left="32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8"/>
          <w:szCs w:val="18"/>
          <w:b w:val="1"/>
          <w:bCs w:val="1"/>
          <w:color w:val="auto"/>
        </w:rPr>
        <w:t>TYPES OF AWARDS</w:t>
      </w:r>
    </w:p>
    <w:p>
      <w:pPr>
        <w:spacing w:after="0" w:line="229" w:lineRule="exact"/>
        <w:rPr>
          <w:sz w:val="20"/>
          <w:szCs w:val="20"/>
          <w:color w:val="auto"/>
        </w:rPr>
      </w:pPr>
    </w:p>
    <w:p>
      <w:pPr>
        <w:ind w:right="120" w:firstLine="1008"/>
        <w:spacing w:after="0" w:line="282" w:lineRule="auto"/>
        <w:rPr>
          <w:sz w:val="20"/>
          <w:szCs w:val="20"/>
          <w:color w:val="auto"/>
        </w:rPr>
      </w:pPr>
      <w:r>
        <w:rPr>
          <w:rFonts w:ascii="Times New Roman" w:cs="Times New Roman" w:eastAsia="Times New Roman" w:hAnsi="Times New Roman"/>
          <w:sz w:val="18"/>
          <w:szCs w:val="18"/>
          <w:color w:val="auto"/>
        </w:rPr>
        <w:t>Awards may be made under the Plan in the form of (i) options, (ii) stock appreciation rights, (iii) stock awards, (iv) restricted stock units, (v) dividend equivalent rights and (vi) other awards.</w:t>
      </w:r>
    </w:p>
    <w:p>
      <w:pPr>
        <w:spacing w:after="0" w:line="158" w:lineRule="exact"/>
        <w:rPr>
          <w:sz w:val="20"/>
          <w:szCs w:val="20"/>
          <w:color w:val="auto"/>
        </w:rPr>
      </w:pPr>
    </w:p>
    <w:p>
      <w:pPr>
        <w:ind w:left="960" w:hanging="763"/>
        <w:spacing w:after="0"/>
        <w:tabs>
          <w:tab w:leader="none" w:pos="96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PLAN</w:t>
      </w:r>
    </w:p>
    <w:p>
      <w:pPr>
        <w:spacing w:after="0" w:line="225" w:lineRule="exact"/>
        <w:rPr>
          <w:rFonts w:ascii="Times New Roman" w:cs="Times New Roman" w:eastAsia="Times New Roman" w:hAnsi="Times New Roman"/>
          <w:sz w:val="18"/>
          <w:szCs w:val="18"/>
          <w:b w:val="1"/>
          <w:bCs w:val="1"/>
          <w:color w:val="auto"/>
        </w:rPr>
      </w:pPr>
    </w:p>
    <w:p>
      <w:pPr>
        <w:ind w:right="80" w:firstLine="1016"/>
        <w:spacing w:after="0" w:line="257" w:lineRule="auto"/>
        <w:tabs>
          <w:tab w:leader="none" w:pos="122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 The Compensation Committee shall have sole and exclusive authority to administer the Plan with respect to Section 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Insiders. Administration of the Plan with respect to all other persons eligible to participate in the Plan may, at the Board’s discretion, be vested in the Compensation Committee or a Secondary Board Committee, or the Board may retain the power to administer those programs with respect to such persons. Members of the Compensation Committee or any Secondary Board Committee shall serve for such period as the Board may determine and may be removed by the Board at any time. The Board may also at any time terminate the functions of any Secondary Board Committee and reassume all powers and authority previously delegated to such committee.</w:t>
      </w:r>
    </w:p>
    <w:p>
      <w:pPr>
        <w:spacing w:after="0" w:line="182" w:lineRule="exact"/>
        <w:rPr>
          <w:rFonts w:ascii="Times New Roman" w:cs="Times New Roman" w:eastAsia="Times New Roman" w:hAnsi="Times New Roman"/>
          <w:sz w:val="18"/>
          <w:szCs w:val="18"/>
          <w:color w:val="auto"/>
        </w:rPr>
      </w:pPr>
    </w:p>
    <w:p>
      <w:pPr>
        <w:jc w:val="both"/>
        <w:ind w:right="560" w:firstLine="1016"/>
        <w:spacing w:after="0" w:line="268" w:lineRule="auto"/>
        <w:tabs>
          <w:tab w:leader="none" w:pos="121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Delegation of Authority</w:t>
      </w:r>
      <w:r>
        <w:rPr>
          <w:rFonts w:ascii="Times New Roman" w:cs="Times New Roman" w:eastAsia="Times New Roman" w:hAnsi="Times New Roman"/>
          <w:sz w:val="18"/>
          <w:szCs w:val="18"/>
          <w:color w:val="auto"/>
        </w:rPr>
        <w:t>. To the extent permitted by law, the Board or the Compensation Committee may delegate any or all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administer the Plan with respect to one or more classes of eligible persons (other than Section 16 Insiders) to one or more officers of the Company.</w:t>
      </w:r>
    </w:p>
    <w:p>
      <w:pPr>
        <w:spacing w:after="0" w:line="170" w:lineRule="exact"/>
        <w:rPr>
          <w:rFonts w:ascii="Times New Roman" w:cs="Times New Roman" w:eastAsia="Times New Roman" w:hAnsi="Times New Roman"/>
          <w:sz w:val="18"/>
          <w:szCs w:val="18"/>
          <w:color w:val="auto"/>
        </w:rPr>
      </w:pPr>
    </w:p>
    <w:p>
      <w:pPr>
        <w:ind w:right="20" w:firstLine="1016"/>
        <w:spacing w:after="0" w:line="269" w:lineRule="auto"/>
        <w:tabs>
          <w:tab w:leader="none" w:pos="1218"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Power and Authority of the Plan Administrator</w:t>
      </w:r>
      <w:r>
        <w:rPr>
          <w:rFonts w:ascii="Times New Roman" w:cs="Times New Roman" w:eastAsia="Times New Roman" w:hAnsi="Times New Roman"/>
          <w:sz w:val="17"/>
          <w:szCs w:val="17"/>
          <w:color w:val="auto"/>
        </w:rPr>
        <w:t>. Each Plan Administrator shall, within the scope of its administrative functions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Plan, have full authority to determine (i) which eligible persons are to receive Awards under the Plan, (ii) the type, size, terms and conditions of the Awards to be made to each Participant, (iii) the time or times when those Awards are to be made, (iv) the number of shares or amount of payment to be covered by each such Award, (v) the time or times when the Award is to become exercisable, (vi) the status of an option for U.S. federal tax purposes, (vii) the maximum term for which an Award is to remain outstanding, (viii) the vesting and issuance schedules applicable to the shares that are the subject of the Award, (ix) the cash consideration (if any) payable for those shares and the form (cash or shares of Common Stock) in which the Award is to be settled, and</w:t>
      </w:r>
    </w:p>
    <w:p>
      <w:pPr>
        <w:spacing w:after="0" w:line="3" w:lineRule="exact"/>
        <w:rPr>
          <w:rFonts w:ascii="Times New Roman" w:cs="Times New Roman" w:eastAsia="Times New Roman" w:hAnsi="Times New Roman"/>
          <w:sz w:val="17"/>
          <w:szCs w:val="17"/>
          <w:color w:val="auto"/>
        </w:rPr>
      </w:pPr>
    </w:p>
    <w:p>
      <w:pPr>
        <w:ind w:right="520" w:firstLine="8"/>
        <w:spacing w:after="0" w:line="260"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performance-based Awards, the performance objectives for each such Award, the amounts payable at designated levels of attained performance, any applicable service vesting requirements, and the payout schedule for each such Award.</w:t>
      </w:r>
    </w:p>
    <w:p>
      <w:pPr>
        <w:spacing w:after="0" w:line="177" w:lineRule="exact"/>
        <w:rPr>
          <w:rFonts w:ascii="Times New Roman" w:cs="Times New Roman" w:eastAsia="Times New Roman" w:hAnsi="Times New Roman"/>
          <w:sz w:val="18"/>
          <w:szCs w:val="18"/>
          <w:color w:val="auto"/>
        </w:rPr>
      </w:pPr>
    </w:p>
    <w:p>
      <w:pPr>
        <w:ind w:right="80" w:firstLine="1016"/>
        <w:spacing w:after="0" w:line="259" w:lineRule="auto"/>
        <w:tabs>
          <w:tab w:leader="none" w:pos="122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 Construction and Interpretation</w:t>
      </w:r>
      <w:r>
        <w:rPr>
          <w:rFonts w:ascii="Times New Roman" w:cs="Times New Roman" w:eastAsia="Times New Roman" w:hAnsi="Times New Roman"/>
          <w:sz w:val="18"/>
          <w:szCs w:val="18"/>
          <w:color w:val="auto"/>
        </w:rPr>
        <w:t>. Each Plan Administrator shall, within the scope of its administrative functions under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full power and authority (subject to the provisions of the Plan) to establish such rules and regulations as it may deem appropriate for proper administration of the Plan and to make such determinations under, and issue such interpretations of, the provisions of the Plan and any outstanding Awards thereunder as it may deem necessary or advisable. Decisions of the Plan Administrator within the scope of its administrative functions under the Plan shall be final and binding on all parties who have an interest in the Plan or any Award thereunder.</w:t>
      </w:r>
    </w:p>
    <w:p>
      <w:pPr>
        <w:spacing w:after="0" w:line="179" w:lineRule="exact"/>
        <w:rPr>
          <w:rFonts w:ascii="Times New Roman" w:cs="Times New Roman" w:eastAsia="Times New Roman" w:hAnsi="Times New Roman"/>
          <w:sz w:val="18"/>
          <w:szCs w:val="18"/>
          <w:color w:val="auto"/>
        </w:rPr>
      </w:pPr>
    </w:p>
    <w:p>
      <w:pPr>
        <w:ind w:right="200" w:firstLine="1016"/>
        <w:spacing w:after="0" w:line="259" w:lineRule="auto"/>
        <w:tabs>
          <w:tab w:leader="none" w:pos="120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Service as a Plan Administrator by the members of the Compensation Committee or the Secondary Board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service as Board members, and the members of each such committee shall accordingly be entitled to full indemnification and reimbursement as Board members for their service on such committee. No member of the Compensation Committee or the Secondary Board Committee, nor any other person to whom authority is delegated hereunder, shall be liable for any act or omission made in good faith with respect to the Plan or any Award thereunder.</w:t>
      </w:r>
    </w:p>
    <w:p>
      <w:pPr>
        <w:spacing w:after="0" w:line="179" w:lineRule="exact"/>
        <w:rPr>
          <w:sz w:val="20"/>
          <w:szCs w:val="20"/>
          <w:color w:val="auto"/>
        </w:rPr>
      </w:pPr>
    </w:p>
    <w:p>
      <w:pPr>
        <w:ind w:left="42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The persons eligible to participate in the Plan are as follows:</w:t>
      </w:r>
    </w:p>
    <w:p>
      <w:pPr>
        <w:spacing w:after="0" w:line="225" w:lineRule="exact"/>
        <w:rPr>
          <w:sz w:val="20"/>
          <w:szCs w:val="20"/>
          <w:color w:val="auto"/>
        </w:rPr>
      </w:pPr>
    </w:p>
    <w:p>
      <w:pPr>
        <w:ind w:left="1660" w:hanging="212"/>
        <w:spacing w:after="0"/>
        <w:tabs>
          <w:tab w:leader="none" w:pos="1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w:t>
      </w:r>
    </w:p>
    <w:p>
      <w:pPr>
        <w:spacing w:after="0" w:line="225" w:lineRule="exact"/>
        <w:rPr>
          <w:rFonts w:ascii="Times New Roman" w:cs="Times New Roman" w:eastAsia="Times New Roman" w:hAnsi="Times New Roman"/>
          <w:sz w:val="18"/>
          <w:szCs w:val="18"/>
          <w:color w:val="auto"/>
        </w:rPr>
      </w:pPr>
    </w:p>
    <w:p>
      <w:pPr>
        <w:ind w:left="1720" w:hanging="272"/>
        <w:spacing w:after="0"/>
        <w:tabs>
          <w:tab w:leader="none" w:pos="1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and non-employee members of the board of any Parent or Subsidiary; and</w:t>
      </w:r>
    </w:p>
    <w:p>
      <w:pPr>
        <w:spacing w:after="0" w:line="225" w:lineRule="exact"/>
        <w:rPr>
          <w:rFonts w:ascii="Times New Roman" w:cs="Times New Roman" w:eastAsia="Times New Roman" w:hAnsi="Times New Roman"/>
          <w:sz w:val="18"/>
          <w:szCs w:val="18"/>
          <w:color w:val="auto"/>
        </w:rPr>
      </w:pPr>
    </w:p>
    <w:p>
      <w:pPr>
        <w:jc w:val="center"/>
        <w:ind w:left="5580" w:right="1440" w:hanging="4132"/>
        <w:spacing w:after="0" w:line="532" w:lineRule="auto"/>
        <w:tabs>
          <w:tab w:leader="none" w:pos="17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consultants and other independent advisors who provide services to the Company (or any Parent or Subsidiary).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left="680" w:hanging="483"/>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p>
    <w:p>
      <w:pPr>
        <w:spacing w:after="0" w:line="229" w:lineRule="exact"/>
        <w:rPr>
          <w:rFonts w:ascii="Times New Roman" w:cs="Times New Roman" w:eastAsia="Times New Roman" w:hAnsi="Times New Roman"/>
          <w:sz w:val="18"/>
          <w:szCs w:val="18"/>
          <w:b w:val="1"/>
          <w:bCs w:val="1"/>
          <w:color w:val="auto"/>
        </w:rPr>
      </w:pPr>
    </w:p>
    <w:p>
      <w:pPr>
        <w:ind w:right="100" w:firstLine="1286"/>
        <w:spacing w:after="0" w:line="266" w:lineRule="auto"/>
        <w:tabs>
          <w:tab w:leader="none" w:pos="149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issuable under the Plan shall be authorized but unissued or reacquired shares of Common Stock, including shares repurchased by the Company on the open market. The number of shares of Common Stock reserved for issuance over the term of the Plan shall be limited to 896,546 shares (subject to adjustment as set forth below).</w:t>
      </w:r>
    </w:p>
    <w:p>
      <w:pPr>
        <w:spacing w:after="0" w:line="175" w:lineRule="exact"/>
        <w:rPr>
          <w:rFonts w:ascii="Times New Roman" w:cs="Times New Roman" w:eastAsia="Times New Roman" w:hAnsi="Times New Roman"/>
          <w:sz w:val="18"/>
          <w:szCs w:val="18"/>
          <w:color w:val="auto"/>
        </w:rPr>
      </w:pPr>
    </w:p>
    <w:p>
      <w:pPr>
        <w:ind w:firstLine="1286"/>
        <w:spacing w:after="0" w:line="252" w:lineRule="auto"/>
        <w:tabs>
          <w:tab w:leader="none" w:pos="148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subject to outstanding Awards made under the Plan shall be available for subsequent issuance under the Plan to the extent those Awards expire, are forfeited, or cancelled or terminate for any reason prior to the issuance of the shares of Common Stock subject to those Awards or are settled in cash. If shares of Common Stock otherwise issuable upon exercise of an option under the Plan are surrendered in payment of the exercise price of an option, then the number of shares of Common Stock available for issuance under the Plan shall be reduced only by the net number of shares issued by the Company upon such exercise and not by the gross number of shares as to which such Option is exercised. Upon the exercise of any stock appreciation right under the Plan, the number of shares of Common Stock available for issuance under the Plan shall be reduced by the net number of shares as to which such right is exercised, and not by the gross number of shares issued by the Company upon such exercise. If shares of Common Stock otherwise issuable under the Plan are withheld by the Company in satisfaction of the withholding taxes incurred in connection with the issuance, vesting or exercise of any Award or the issuance of Common Stock thereunder, then the number of shares of Common Stock available for issuance under the Plan shall be reduced by the net number of shares issued under such Award, calculated in each instance after payment of such share withholding. Unvested shares issued under the Plan and subsequently forfeited to or repurchased by the Company, at a price per share not greater than the original issue price paid per share, pursuant to the Company’s repurchase rights under the Plan shall be available for subsequent issuance under the Plan. Shares of Common Stock that have been repurchased by the Company on the open market using stock option exercise proceeds shall not be available for subsequent issuance under the Plan.</w:t>
      </w:r>
    </w:p>
    <w:p>
      <w:pPr>
        <w:spacing w:after="0" w:line="193" w:lineRule="exact"/>
        <w:rPr>
          <w:rFonts w:ascii="Times New Roman" w:cs="Times New Roman" w:eastAsia="Times New Roman" w:hAnsi="Times New Roman"/>
          <w:sz w:val="18"/>
          <w:szCs w:val="18"/>
          <w:color w:val="auto"/>
        </w:rPr>
      </w:pPr>
    </w:p>
    <w:p>
      <w:pPr>
        <w:ind w:left="1240" w:hanging="224"/>
        <w:spacing w:after="0"/>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 on Awards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The maximum aggregate value of Awards granted to any Non-Employee Director under the Plan in any calendar year, taken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with any cash retainer paid to such Non-Employee Director in respect of such calendar year, shall not exceed five hundred thousand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in total value (calculating the value of any such Awards based on the grant date fair value of such Awards for financial reporting purposes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for this purpose, the value of any dividends or dividend equivalents paid on any shares of Common Stock or Awards).</w:t>
      </w:r>
    </w:p>
    <w:p>
      <w:pPr>
        <w:spacing w:after="0" w:line="203" w:lineRule="exact"/>
        <w:rPr>
          <w:sz w:val="20"/>
          <w:szCs w:val="20"/>
          <w:color w:val="auto"/>
        </w:rPr>
      </w:pPr>
    </w:p>
    <w:p>
      <w:pPr>
        <w:ind w:right="60" w:firstLine="1278"/>
        <w:spacing w:after="0" w:line="253"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Should any change be made to the Common Stock by reason of any stock split, stock dividend, recapitalization, combination of shares, exchange of shares, spin-off transaction or other change affecting the outstanding Common Stock as a class without the Company’s receipt of consideration, or should the value of outstanding shares of Common Stock be substantially reduced as a result of a spin-off transaction, extraordinary distribution (whether in cash, securities or other property) or an extraordinary dividend or distribution, or should there occur any merger, consolidation, reincorporation or other reorganization, then equitable adjustments shall be made by the Plan Administrator to (i) the maximum number and/or class of securities issuable under the Plan, (ii) the maximum number and/or class of securities that may be issued pursuant to Incentive Options granted under the Plan, (iii) the number and/or class of securities and the exercise or base price per share in effect under each outstanding Award and the consideration (if any) payable per share, and (iv) the number and/or class of securities subject to the Company’s outstanding repurchase rights under the Plan and the repurchase price payable per share, and (v) such other terms and conditions for outstanding Awards as the Plan Administrator deems appropriate. The adjustments shall be made in such manner as the Plan Administrator deems appropriate to prevent the dilution or enlargement of benefits under the Plan and the outstanding Awards thereunder, and such adjustments shall be final, binding, and conclusive. In the event of a Change in Control, the adjustments (if any) shall be made in accordance with the applicable provisions of the Plan governing Change in Control transactions. The adjustments shall be made in such manner as the Plan Administrator deems appropriate and such adjustments shall be final, binding, and conclusive. Outstanding Awards granted pursuant to the Plan shall in no way affect the right of the Company to adjust, reclassify, reorganize, or otherwise change its capital or business structure or to merge, consolidate, dissolve, liquidate or sell or transfer all or any part of its business or assets.</w:t>
      </w:r>
    </w:p>
    <w:p>
      <w:pPr>
        <w:spacing w:after="0" w:line="183" w:lineRule="exact"/>
        <w:rPr>
          <w:sz w:val="20"/>
          <w:szCs w:val="20"/>
          <w:color w:val="auto"/>
        </w:rPr>
      </w:pPr>
    </w:p>
    <w:p>
      <w:pPr>
        <w:ind w:firstLine="1278"/>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Substitute Awards</w:t>
      </w:r>
      <w:r>
        <w:rPr>
          <w:rFonts w:ascii="Times New Roman" w:cs="Times New Roman" w:eastAsia="Times New Roman" w:hAnsi="Times New Roman"/>
          <w:sz w:val="18"/>
          <w:szCs w:val="18"/>
          <w:color w:val="auto"/>
        </w:rPr>
        <w:t xml:space="preserve">. Awards may, in the sole discretion of the Plan Administrator, be granted under the Plan in assumption of, or in substitution for, outstanding awards previously granted by an entity directly or indirectly acquired by the Company or with which the Company combines (“Substitute Awards”). Substitute Awards shall not be counted against the share limit (nor shall Substitute Awards be added to the share limit as provided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Substitute Awards issued in connection with the assumption of, or in substitution for, outstanding options intended to qualify as Incentive Options within the meaning of Code Section 422 shall be counted against the aggregate number of shares of Common Stock available for Awards of Incentive Options under the Plan. Subject to applicable stock exchange requirements, available shares under a stockholder approved plan of an entity directly or indirectly acquired by the Company or with which the Company combines (as appropriately adjusted to reflect the acquisition or combination transaction) may be used for Awards under the Plan and shall not reduce (or be added back to) the number of shares of Common Stock available for issuance under the Plan.</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5" w:name="page6"/>
    <w:bookmarkEnd w:id="5"/>
    <w:p>
      <w:pPr>
        <w:ind w:left="540"/>
        <w:spacing w:after="0"/>
        <w:tabs>
          <w:tab w:leader="none" w:pos="256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OPTIONS</w:t>
      </w:r>
    </w:p>
    <w:p>
      <w:pPr>
        <w:spacing w:after="0" w:line="225" w:lineRule="exact"/>
        <w:rPr>
          <w:sz w:val="20"/>
          <w:szCs w:val="20"/>
          <w:color w:val="auto"/>
        </w:rPr>
      </w:pPr>
    </w:p>
    <w:p>
      <w:pPr>
        <w:ind w:right="100" w:firstLine="1008"/>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The Plan Administrator shall have full power and authority, exercisable in its sole discretion, to grant Incentive Options and Non-Statutory Options evidenced by an Award Agreement in the form approved by the Plan Administrator, provided, however, that the terms of each such Award Agreement shall not be inconsistent with the terms specified below. Each Award Agreement evidencing an Incentive Option shall, in addition, be subject to the provisions of Section VI.F below.</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40" w:firstLine="1448"/>
        <w:spacing w:after="0" w:line="266" w:lineRule="auto"/>
        <w:tabs>
          <w:tab w:leader="none" w:pos="1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shall be fixed by the Plan Administrator, provided, however, that such exercise price shall not be less than one hundred percent (100%) of the Fair Market Value per share of Common Stock on the grant date, except as determined otherwise by the Plan Administrator with respect to a Substitute Award.</w:t>
      </w:r>
    </w:p>
    <w:p>
      <w:pPr>
        <w:spacing w:after="0" w:line="175" w:lineRule="exact"/>
        <w:rPr>
          <w:rFonts w:ascii="Times New Roman" w:cs="Times New Roman" w:eastAsia="Times New Roman" w:hAnsi="Times New Roman"/>
          <w:sz w:val="18"/>
          <w:szCs w:val="18"/>
          <w:color w:val="auto"/>
        </w:rPr>
      </w:pPr>
    </w:p>
    <w:p>
      <w:pPr>
        <w:ind w:left="1720" w:hanging="272"/>
        <w:spacing w:after="0"/>
        <w:tabs>
          <w:tab w:leader="none" w:pos="1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shall be payable in one or more of the following forms as determined by the Plan Administrator:</w:t>
      </w:r>
    </w:p>
    <w:p>
      <w:pPr>
        <w:spacing w:after="0" w:line="225" w:lineRule="exact"/>
        <w:rPr>
          <w:rFonts w:ascii="Times New Roman" w:cs="Times New Roman" w:eastAsia="Times New Roman" w:hAnsi="Times New Roman"/>
          <w:sz w:val="18"/>
          <w:szCs w:val="18"/>
          <w:color w:val="auto"/>
        </w:rPr>
      </w:pPr>
    </w:p>
    <w:p>
      <w:pPr>
        <w:ind w:left="2260" w:hanging="254"/>
        <w:spacing w:after="0"/>
        <w:tabs>
          <w:tab w:leader="none" w:pos="2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check made payable to the Company;</w:t>
      </w:r>
    </w:p>
    <w:p>
      <w:pPr>
        <w:spacing w:after="0" w:line="225" w:lineRule="exact"/>
        <w:rPr>
          <w:rFonts w:ascii="Times New Roman" w:cs="Times New Roman" w:eastAsia="Times New Roman" w:hAnsi="Times New Roman"/>
          <w:sz w:val="18"/>
          <w:szCs w:val="18"/>
          <w:color w:val="auto"/>
        </w:rPr>
      </w:pPr>
    </w:p>
    <w:p>
      <w:pPr>
        <w:ind w:firstLine="2006"/>
        <w:spacing w:after="0" w:line="266" w:lineRule="auto"/>
        <w:tabs>
          <w:tab w:leader="none" w:pos="225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(whether delivered in the form of actual share certificates or through attestation of ownership) held for the requisite period (if any) necessary to avoid any resulting charge to the Company’s earnings for financial reporting purposes and valued at Fair Market Value on the Exercise Date;</w:t>
      </w:r>
    </w:p>
    <w:p>
      <w:pPr>
        <w:spacing w:after="0" w:line="175" w:lineRule="exact"/>
        <w:rPr>
          <w:rFonts w:ascii="Times New Roman" w:cs="Times New Roman" w:eastAsia="Times New Roman" w:hAnsi="Times New Roman"/>
          <w:sz w:val="18"/>
          <w:szCs w:val="18"/>
          <w:color w:val="auto"/>
        </w:rPr>
      </w:pPr>
    </w:p>
    <w:p>
      <w:pPr>
        <w:ind w:right="260" w:firstLine="2006"/>
        <w:spacing w:after="0" w:line="282" w:lineRule="auto"/>
        <w:tabs>
          <w:tab w:leader="none" w:pos="224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otherwise issuable under the option but withheld by the Company in satisfaction of the exercise price, with such withheld shares to be valued at Fair Market Value on the Exercise Date; or</w:t>
      </w:r>
    </w:p>
    <w:p>
      <w:pPr>
        <w:spacing w:after="0" w:line="161" w:lineRule="exact"/>
        <w:rPr>
          <w:rFonts w:ascii="Times New Roman" w:cs="Times New Roman" w:eastAsia="Times New Roman" w:hAnsi="Times New Roman"/>
          <w:sz w:val="18"/>
          <w:szCs w:val="18"/>
          <w:color w:val="auto"/>
        </w:rPr>
      </w:pPr>
    </w:p>
    <w:p>
      <w:pPr>
        <w:ind w:right="20" w:firstLine="2006"/>
        <w:spacing w:after="0" w:line="256" w:lineRule="auto"/>
        <w:tabs>
          <w:tab w:leader="none" w:pos="225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option is exercised for vested shares of Common Stock, through a special sale and remittance procedure pursuant to which the Participant shall concurrently provide instructions to (x) a brokerage firm (reasonably satisfactory to the Company for purposes of administering such procedure in compliance with the Company’s pre-clearance/pre-notification policies) to effect the immediate sale of the purchased shares and remit to the Company, out of the sale proceeds available on the settlement date, sufficient funds to cover the aggregate exercise price payable for the purchased shares plus all applicable income and employment taxes required to be withheld by the Company by reason of such exercise and (y) the Company to deliver the certificates for the purchased shares directly to such brokerage firm on such settlement date in order to complete the sale.</w:t>
      </w:r>
    </w:p>
    <w:p>
      <w:pPr>
        <w:spacing w:after="0" w:line="187" w:lineRule="exact"/>
        <w:rPr>
          <w:sz w:val="20"/>
          <w:szCs w:val="20"/>
          <w:color w:val="auto"/>
        </w:rPr>
      </w:pPr>
    </w:p>
    <w:p>
      <w:pPr>
        <w:ind w:right="500" w:firstLine="450"/>
        <w:spacing w:after="0" w:line="282" w:lineRule="auto"/>
        <w:rPr>
          <w:sz w:val="20"/>
          <w:szCs w:val="20"/>
          <w:color w:val="auto"/>
        </w:rPr>
      </w:pPr>
      <w:r>
        <w:rPr>
          <w:rFonts w:ascii="Times New Roman" w:cs="Times New Roman" w:eastAsia="Times New Roman" w:hAnsi="Times New Roman"/>
          <w:sz w:val="18"/>
          <w:szCs w:val="18"/>
          <w:color w:val="auto"/>
        </w:rPr>
        <w:t>Except to the extent such sale and remittance procedure is utilized, payment of the exercise price for the purchased shares must be made on the Exercise Date.</w:t>
      </w:r>
    </w:p>
    <w:p>
      <w:pPr>
        <w:spacing w:after="0" w:line="162" w:lineRule="exact"/>
        <w:rPr>
          <w:sz w:val="20"/>
          <w:szCs w:val="20"/>
          <w:color w:val="auto"/>
        </w:rPr>
      </w:pPr>
    </w:p>
    <w:p>
      <w:pPr>
        <w:ind w:right="180" w:firstLine="1448"/>
        <w:spacing w:after="0" w:line="282" w:lineRule="auto"/>
        <w:tabs>
          <w:tab w:leader="none" w:pos="17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shall have the discretion (exercisable at any time) to permit the exercise price of an outstanding option to be paid in one or more of the forms specified in Section VI.B(ii).</w:t>
      </w:r>
    </w:p>
    <w:p>
      <w:pPr>
        <w:spacing w:after="0" w:line="157" w:lineRule="exact"/>
        <w:rPr>
          <w:rFonts w:ascii="Times New Roman" w:cs="Times New Roman" w:eastAsia="Times New Roman" w:hAnsi="Times New Roman"/>
          <w:sz w:val="18"/>
          <w:szCs w:val="18"/>
          <w:color w:val="auto"/>
        </w:rPr>
      </w:pPr>
    </w:p>
    <w:p>
      <w:pPr>
        <w:ind w:right="120" w:firstLine="1016"/>
        <w:spacing w:after="0" w:line="268" w:lineRule="auto"/>
        <w:tabs>
          <w:tab w:leader="none" w:pos="12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and Term of Options</w:t>
      </w:r>
      <w:r>
        <w:rPr>
          <w:rFonts w:ascii="Times New Roman" w:cs="Times New Roman" w:eastAsia="Times New Roman" w:hAnsi="Times New Roman"/>
          <w:sz w:val="18"/>
          <w:szCs w:val="18"/>
          <w:color w:val="auto"/>
        </w:rPr>
        <w:t>. Each option shall be exercisable at such time or times, during such period and for such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shall be determined by the Plan Administrator and set forth in the Award Agreement evidencing the option. However, no option shall have a term in excess of ten (10) years measured from the option grant date.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ind w:left="10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u w:val="single" w:color="auto"/>
          <w:color w:val="auto"/>
        </w:rPr>
        <w:t>Effect of Termination of Service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(i) The following provisions shall govern the exercise of any options that are outstanding at the time of the Participant’s cessation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or death:</w:t>
      </w:r>
    </w:p>
    <w:p>
      <w:pPr>
        <w:spacing w:after="0" w:line="207" w:lineRule="exact"/>
        <w:rPr>
          <w:sz w:val="20"/>
          <w:szCs w:val="20"/>
          <w:color w:val="auto"/>
        </w:rPr>
      </w:pPr>
    </w:p>
    <w:p>
      <w:pPr>
        <w:ind w:right="120" w:firstLine="2006"/>
        <w:spacing w:after="0" w:line="266" w:lineRule="auto"/>
        <w:tabs>
          <w:tab w:leader="none" w:pos="224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outstanding at the time of the Participant’s cessation of Service for any reason shall remain exercisable for such period thereafter as shall be determined by the Plan Administrator and set forth in the documents evidencing the option, but no such option shall be exercisable after the expiration of the option term.</w:t>
      </w:r>
    </w:p>
    <w:p>
      <w:pPr>
        <w:spacing w:after="0" w:line="175" w:lineRule="exact"/>
        <w:rPr>
          <w:rFonts w:ascii="Times New Roman" w:cs="Times New Roman" w:eastAsia="Times New Roman" w:hAnsi="Times New Roman"/>
          <w:sz w:val="18"/>
          <w:szCs w:val="18"/>
          <w:color w:val="auto"/>
        </w:rPr>
      </w:pPr>
    </w:p>
    <w:p>
      <w:pPr>
        <w:ind w:firstLine="2006"/>
        <w:spacing w:after="0" w:line="266" w:lineRule="auto"/>
        <w:tabs>
          <w:tab w:leader="none" w:pos="225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held by the Participant at the time of the Participant’s death and exercisable in whole or in part at that time may be subsequently exercised by the personal representative of the Participant’s estate or by the person or persons to whom the option is transferred pursuant to the Participant’s will or the laws of inheritance or by the Participant’s designated beneficiary or beneficiaries of that option.</w:t>
      </w:r>
    </w:p>
    <w:p>
      <w:pPr>
        <w:spacing w:after="0" w:line="175" w:lineRule="exact"/>
        <w:rPr>
          <w:rFonts w:ascii="Times New Roman" w:cs="Times New Roman" w:eastAsia="Times New Roman" w:hAnsi="Times New Roman"/>
          <w:sz w:val="18"/>
          <w:szCs w:val="18"/>
          <w:color w:val="auto"/>
        </w:rPr>
      </w:pPr>
    </w:p>
    <w:p>
      <w:pPr>
        <w:ind w:right="700" w:firstLine="2006"/>
        <w:spacing w:after="0" w:line="312" w:lineRule="auto"/>
        <w:tabs>
          <w:tab w:leader="none" w:pos="2243"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Should the Participant’s Service be terminated for Cause or should the Participant otherwise engage in any conduct constituting Cause while holding one or more outstanding options, then all such options shall terminate immediately and cease to be outstanding.</w:t>
      </w:r>
    </w:p>
    <w:p>
      <w:pPr>
        <w:spacing w:after="0" w:line="139" w:lineRule="exact"/>
        <w:rPr>
          <w:rFonts w:ascii="Times New Roman" w:cs="Times New Roman" w:eastAsia="Times New Roman" w:hAnsi="Times New Roman"/>
          <w:sz w:val="17"/>
          <w:szCs w:val="17"/>
          <w:color w:val="auto"/>
        </w:rPr>
      </w:pPr>
    </w:p>
    <w:p>
      <w:pPr>
        <w:ind w:right="120" w:firstLine="2006"/>
        <w:spacing w:after="0" w:line="258" w:lineRule="auto"/>
        <w:tabs>
          <w:tab w:leader="none" w:pos="225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applicable post-Service exercise period, the option may not be exercised for more than the number of vested shares for which the option is at the time exercisable. No additional shares shall vest under the option following the Participant’s cessation of Service except to the extent (if any) specifically authorized by the Plan Administrator in its sole discretion pursuant to an express written agreement with the Participant. Upon the expiration of the applicable exercise period or (if earlier) upon the expiration of the option term, the option shall terminate and cease to be outstanding for any shares for which the option has not been exercised.</w:t>
      </w:r>
    </w:p>
    <w:p>
      <w:pPr>
        <w:spacing w:after="0" w:line="183" w:lineRule="exact"/>
        <w:rPr>
          <w:rFonts w:ascii="Times New Roman" w:cs="Times New Roman" w:eastAsia="Times New Roman" w:hAnsi="Times New Roman"/>
          <w:sz w:val="18"/>
          <w:szCs w:val="18"/>
          <w:color w:val="auto"/>
        </w:rPr>
      </w:pPr>
    </w:p>
    <w:p>
      <w:pPr>
        <w:ind w:right="220" w:firstLine="1448"/>
        <w:spacing w:after="0" w:line="282" w:lineRule="auto"/>
        <w:tabs>
          <w:tab w:leader="none" w:pos="17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shall have complete discretion, exercisable either at the time an option is granted or at any time while the option remains outstanding, to:</w:t>
      </w:r>
    </w:p>
    <w:p>
      <w:pPr>
        <w:spacing w:after="0" w:line="161" w:lineRule="exact"/>
        <w:rPr>
          <w:rFonts w:ascii="Times New Roman" w:cs="Times New Roman" w:eastAsia="Times New Roman" w:hAnsi="Times New Roman"/>
          <w:sz w:val="18"/>
          <w:szCs w:val="18"/>
          <w:color w:val="auto"/>
        </w:rPr>
      </w:pPr>
    </w:p>
    <w:p>
      <w:pPr>
        <w:ind w:right="100" w:firstLine="2006"/>
        <w:spacing w:after="0" w:line="266" w:lineRule="auto"/>
        <w:tabs>
          <w:tab w:leader="none" w:pos="224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period of time for which the option is to remain exercisable following the Participant’s cessation of Service from the limited exercise period otherwise in effect for that option to such greater period as the Plan Administrator shall deem appropriate, but in no event beyond the expiration of the option term;</w:t>
      </w:r>
    </w:p>
    <w:p>
      <w:pPr>
        <w:spacing w:after="0" w:line="175" w:lineRule="exact"/>
        <w:rPr>
          <w:rFonts w:ascii="Times New Roman" w:cs="Times New Roman" w:eastAsia="Times New Roman" w:hAnsi="Times New Roman"/>
          <w:sz w:val="18"/>
          <w:szCs w:val="18"/>
          <w:color w:val="auto"/>
        </w:rPr>
      </w:pPr>
    </w:p>
    <w:p>
      <w:pPr>
        <w:jc w:val="both"/>
        <w:ind w:right="160" w:firstLine="2006"/>
        <w:spacing w:after="0" w:line="258" w:lineRule="auto"/>
        <w:tabs>
          <w:tab w:leader="none" w:pos="225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an automatic extension provision whereby the specified post-Service exercise period in effect for any option shall automatically be extended by an additional period of time equal in duration to any interval within the specified post-Service exercise period during which the exercise of that option or the immediate sale of the shares acquired under such option could not be effected in compliance with applicable federal and state securities laws, but in no event shall such an extension result in the continuation of such option beyond the expiration date of the term of that option; and/or</w:t>
      </w:r>
    </w:p>
    <w:p>
      <w:pPr>
        <w:spacing w:after="0" w:line="183" w:lineRule="exact"/>
        <w:rPr>
          <w:rFonts w:ascii="Times New Roman" w:cs="Times New Roman" w:eastAsia="Times New Roman" w:hAnsi="Times New Roman"/>
          <w:sz w:val="18"/>
          <w:szCs w:val="18"/>
          <w:color w:val="auto"/>
        </w:rPr>
      </w:pPr>
    </w:p>
    <w:p>
      <w:pPr>
        <w:ind w:right="100" w:firstLine="2006"/>
        <w:spacing w:after="0" w:line="266" w:lineRule="auto"/>
        <w:tabs>
          <w:tab w:leader="none" w:pos="224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option to be exercised, during the applicable post-Service exercise period, not only with respect to the number of vested shares of Common Stock for which such option is exercisable at the time of the Participant’s cessation of Service but also with respect to one or more additional installments in which the Participant would have vested had the Participant continued in Service.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ind w:right="40" w:firstLine="1008"/>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u w:val="single" w:color="auto"/>
          <w:color w:val="auto"/>
        </w:rPr>
        <w:t>Early Exercise</w:t>
      </w:r>
      <w:r>
        <w:rPr>
          <w:rFonts w:ascii="Times New Roman" w:cs="Times New Roman" w:eastAsia="Times New Roman" w:hAnsi="Times New Roman"/>
          <w:sz w:val="18"/>
          <w:szCs w:val="18"/>
          <w:color w:val="auto"/>
        </w:rPr>
        <w:t xml:space="preserve">. The Plan Administrator shall have the discretion to grant options that are exercisable for unvested shares of Common Stock. Should the Participant cease Service while holding unvested shares received upon such early exercise of an option, the Company shall have the right to repurchase any or all such unvested shares at a price per share equal to the </w:t>
      </w:r>
      <w:r>
        <w:rPr>
          <w:rFonts w:ascii="Times New Roman" w:cs="Times New Roman" w:eastAsia="Times New Roman" w:hAnsi="Times New Roman"/>
          <w:sz w:val="18"/>
          <w:szCs w:val="18"/>
          <w:b w:val="1"/>
          <w:bCs w:val="1"/>
          <w:i w:val="1"/>
          <w:iCs w:val="1"/>
          <w:color w:val="auto"/>
        </w:rPr>
        <w:t>lower</w:t>
      </w:r>
      <w:r>
        <w:rPr>
          <w:rFonts w:ascii="Times New Roman" w:cs="Times New Roman" w:eastAsia="Times New Roman" w:hAnsi="Times New Roman"/>
          <w:sz w:val="18"/>
          <w:szCs w:val="18"/>
          <w:color w:val="auto"/>
        </w:rPr>
        <w:t xml:space="preserve"> of (i) the exercise price paid per share or (ii) the Fair Market Value per share of Common Stock at the time of repurchase. The terms upon which such repurchase right shall be exercisable (including the period and procedure for exercise and the appropriate vesting schedule for the purchased shares) shall be established by the Plan Administrator and set forth in the document evidencing such repurchase right.</w:t>
      </w:r>
    </w:p>
    <w:p>
      <w:pPr>
        <w:spacing w:after="0" w:line="4" w:lineRule="exact"/>
        <w:rPr>
          <w:sz w:val="20"/>
          <w:szCs w:val="20"/>
          <w:color w:val="auto"/>
        </w:rPr>
      </w:pPr>
    </w:p>
    <w:p>
      <w:pPr>
        <w:ind w:right="20" w:firstLine="1008"/>
        <w:spacing w:after="0" w:line="25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u w:val="single" w:color="auto"/>
          <w:color w:val="auto"/>
        </w:rPr>
        <w:t>Incentive Options</w:t>
      </w:r>
      <w:r>
        <w:rPr>
          <w:rFonts w:ascii="Times New Roman" w:cs="Times New Roman" w:eastAsia="Times New Roman" w:hAnsi="Times New Roman"/>
          <w:sz w:val="18"/>
          <w:szCs w:val="18"/>
          <w:color w:val="auto"/>
        </w:rPr>
        <w:t>. The terms specified below shall be applicable to all Incentive Options. Except as modified by the provisions of this Section VI.F, all the provisions of the Plan shall be applicable to Incentive Options. Options that are specifically designated as Non-Statutory Options when issued under the Plan shall not be subject to the terms of this Section VI.F.</w:t>
      </w:r>
    </w:p>
    <w:p>
      <w:pPr>
        <w:spacing w:after="0" w:line="184" w:lineRule="exact"/>
        <w:rPr>
          <w:sz w:val="20"/>
          <w:szCs w:val="20"/>
          <w:color w:val="auto"/>
        </w:rPr>
      </w:pPr>
    </w:p>
    <w:p>
      <w:pPr>
        <w:ind w:left="1660" w:hanging="212"/>
        <w:spacing w:after="0"/>
        <w:tabs>
          <w:tab w:leader="none" w:pos="1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Eligibility</w:t>
      </w:r>
      <w:r>
        <w:rPr>
          <w:rFonts w:ascii="Times New Roman" w:cs="Times New Roman" w:eastAsia="Times New Roman" w:hAnsi="Times New Roman"/>
          <w:sz w:val="18"/>
          <w:szCs w:val="18"/>
          <w:color w:val="auto"/>
        </w:rPr>
        <w:t>. Incentive Options may only be granted to Employees.</w:t>
      </w:r>
    </w:p>
    <w:p>
      <w:pPr>
        <w:spacing w:after="0" w:line="225" w:lineRule="exact"/>
        <w:rPr>
          <w:rFonts w:ascii="Times New Roman" w:cs="Times New Roman" w:eastAsia="Times New Roman" w:hAnsi="Times New Roman"/>
          <w:sz w:val="18"/>
          <w:szCs w:val="18"/>
          <w:color w:val="auto"/>
        </w:rPr>
      </w:pPr>
    </w:p>
    <w:p>
      <w:pPr>
        <w:ind w:right="160" w:firstLine="1448"/>
        <w:spacing w:after="0" w:line="261" w:lineRule="auto"/>
        <w:tabs>
          <w:tab w:leader="none" w:pos="17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Dollar Limitation</w:t>
      </w:r>
      <w:r>
        <w:rPr>
          <w:rFonts w:ascii="Times New Roman" w:cs="Times New Roman" w:eastAsia="Times New Roman" w:hAnsi="Times New Roman"/>
          <w:sz w:val="18"/>
          <w:szCs w:val="18"/>
          <w:color w:val="auto"/>
        </w:rPr>
        <w:t>. The aggregate Fair Market Value of the shares of Common Stock (determined as of the respective date or 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grant) for which one or more options granted to any Employee under the Plan (or any other option plan of the Company or any Parent or Subsidiary) may for the first time become exercisable as Incentive Options during any one calendar year shall not exceed the sum of One Hundred Thousand Dollars ($100,000).</w:t>
      </w:r>
    </w:p>
    <w:p>
      <w:pPr>
        <w:spacing w:after="0" w:line="182" w:lineRule="exact"/>
        <w:rPr>
          <w:sz w:val="20"/>
          <w:szCs w:val="20"/>
          <w:color w:val="auto"/>
        </w:rPr>
      </w:pPr>
    </w:p>
    <w:p>
      <w:pPr>
        <w:ind w:right="20" w:firstLine="1998"/>
        <w:spacing w:after="0" w:line="261" w:lineRule="auto"/>
        <w:rPr>
          <w:sz w:val="20"/>
          <w:szCs w:val="20"/>
          <w:color w:val="auto"/>
        </w:rPr>
      </w:pPr>
      <w:r>
        <w:rPr>
          <w:rFonts w:ascii="Times New Roman" w:cs="Times New Roman" w:eastAsia="Times New Roman" w:hAnsi="Times New Roman"/>
          <w:sz w:val="18"/>
          <w:szCs w:val="18"/>
          <w:color w:val="auto"/>
        </w:rPr>
        <w:t>To the extent the Employee holds two (2) or more such options that become exercisable for the first time in the same calendar year, then for purposes of the foregoing limitations on the exercisability of those options as Incentive Options, such options shall be deemed to become first exercisable in that calendar year based on the chronological order in which they were granted, except to the extent otherwise provided under applicable law or regulation.</w:t>
      </w:r>
    </w:p>
    <w:p>
      <w:pPr>
        <w:spacing w:after="0" w:line="178" w:lineRule="exact"/>
        <w:rPr>
          <w:sz w:val="20"/>
          <w:szCs w:val="20"/>
          <w:color w:val="auto"/>
        </w:rPr>
      </w:pPr>
    </w:p>
    <w:p>
      <w:pPr>
        <w:ind w:right="80" w:firstLine="1448"/>
        <w:spacing w:after="0" w:line="267" w:lineRule="auto"/>
        <w:tabs>
          <w:tab w:leader="none" w:pos="17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10% Stockholder</w:t>
      </w:r>
      <w:r>
        <w:rPr>
          <w:rFonts w:ascii="Times New Roman" w:cs="Times New Roman" w:eastAsia="Times New Roman" w:hAnsi="Times New Roman"/>
          <w:sz w:val="18"/>
          <w:szCs w:val="18"/>
          <w:color w:val="auto"/>
        </w:rPr>
        <w:t>. If any Employee to whom an Incentive Option is granted is a 10% Stockholder, then the exercise price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be less than one hundred ten percent (110%) of the Fair Market Value per share of Common Stock on the option grant date, and the option term shall not exceed five (5) years measured from the option grant date.</w:t>
      </w:r>
    </w:p>
    <w:p>
      <w:pPr>
        <w:spacing w:after="0" w:line="387" w:lineRule="exact"/>
        <w:rPr>
          <w:sz w:val="20"/>
          <w:szCs w:val="20"/>
          <w:color w:val="auto"/>
        </w:rPr>
      </w:pPr>
    </w:p>
    <w:p>
      <w:pPr>
        <w:ind w:left="20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STOCK APPRECIATION RIGHTS</w:t>
      </w:r>
    </w:p>
    <w:p>
      <w:pPr>
        <w:spacing w:after="0" w:line="225" w:lineRule="exact"/>
        <w:rPr>
          <w:sz w:val="20"/>
          <w:szCs w:val="20"/>
          <w:color w:val="auto"/>
        </w:rPr>
      </w:pPr>
    </w:p>
    <w:p>
      <w:pPr>
        <w:jc w:val="both"/>
        <w:ind w:right="40" w:firstLine="1008"/>
        <w:spacing w:after="0" w:line="26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The Plan Administrator shall have full power and authority, exercisable in its sole discretion, to grant stock appreciation rights evidenced by an Award Agreement in the form approved by the Plan Administrator, provided, however, that the terms of each such Award Agreement shall not be inconsistent with the terms specified below.</w:t>
      </w:r>
    </w:p>
    <w:p>
      <w:pPr>
        <w:spacing w:after="0" w:line="171" w:lineRule="exact"/>
        <w:rPr>
          <w:sz w:val="20"/>
          <w:szCs w:val="20"/>
          <w:color w:val="auto"/>
        </w:rPr>
      </w:pPr>
    </w:p>
    <w:p>
      <w:pPr>
        <w:ind w:right="120" w:firstLine="1008"/>
        <w:spacing w:after="0" w:line="28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u w:val="single" w:color="auto"/>
          <w:color w:val="auto"/>
        </w:rPr>
        <w:t>Types</w:t>
      </w:r>
      <w:r>
        <w:rPr>
          <w:rFonts w:ascii="Times New Roman" w:cs="Times New Roman" w:eastAsia="Times New Roman" w:hAnsi="Times New Roman"/>
          <w:sz w:val="18"/>
          <w:szCs w:val="18"/>
          <w:color w:val="auto"/>
        </w:rPr>
        <w:t>. Two types of stock appreciation rights shall be authorized for issuance under this Section VII: (i) tandem stock appreciation rights (“</w:t>
      </w:r>
      <w:r>
        <w:rPr>
          <w:rFonts w:ascii="Times New Roman" w:cs="Times New Roman" w:eastAsia="Times New Roman" w:hAnsi="Times New Roman"/>
          <w:sz w:val="18"/>
          <w:szCs w:val="18"/>
          <w:u w:val="single" w:color="auto"/>
          <w:color w:val="auto"/>
        </w:rPr>
        <w:t>Tandem Rights</w:t>
      </w:r>
      <w:r>
        <w:rPr>
          <w:rFonts w:ascii="Times New Roman" w:cs="Times New Roman" w:eastAsia="Times New Roman" w:hAnsi="Times New Roman"/>
          <w:sz w:val="18"/>
          <w:szCs w:val="18"/>
          <w:color w:val="auto"/>
        </w:rPr>
        <w:t>”) and (ii) stand-alone stock appreciation rights (“</w:t>
      </w:r>
      <w:r>
        <w:rPr>
          <w:rFonts w:ascii="Times New Roman" w:cs="Times New Roman" w:eastAsia="Times New Roman" w:hAnsi="Times New Roman"/>
          <w:sz w:val="18"/>
          <w:szCs w:val="18"/>
          <w:u w:val="single" w:color="auto"/>
          <w:color w:val="auto"/>
        </w:rPr>
        <w:t>Stand-alone Rights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u w:val="single" w:color="auto"/>
          <w:color w:val="auto"/>
        </w:rPr>
        <w:t>Tandem Rights</w:t>
      </w:r>
      <w:r>
        <w:rPr>
          <w:rFonts w:ascii="Times New Roman" w:cs="Times New Roman" w:eastAsia="Times New Roman" w:hAnsi="Times New Roman"/>
          <w:sz w:val="18"/>
          <w:szCs w:val="18"/>
          <w:color w:val="auto"/>
        </w:rPr>
        <w:t>. The following terms and conditions shall govern the grant and exercise of Tandem Rights.</w:t>
      </w:r>
    </w:p>
    <w:p>
      <w:pPr>
        <w:spacing w:after="0" w:line="229" w:lineRule="exact"/>
        <w:rPr>
          <w:sz w:val="20"/>
          <w:szCs w:val="20"/>
          <w:color w:val="auto"/>
        </w:rPr>
      </w:pPr>
    </w:p>
    <w:p>
      <w:pPr>
        <w:ind w:right="260" w:firstLine="1448"/>
        <w:spacing w:after="0" w:line="258" w:lineRule="auto"/>
        <w:tabs>
          <w:tab w:leader="none" w:pos="165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Participants may be granted a Tandem Right, exercisable upon such terms and conditions as the Plan Administrator may establish, to elect between the exercise of the underlying option for shares of Common Stock or the surrender of that option in exchange for a distribution from the Company in an amount equal to the excess of (a) the Fair Market Value (on the option surrender date) of the number of shares in which the Participant is at the time vested under the surrendered option (or surrendered portion thereof) over (b) the aggregate exercise price payable for such vested shares.</w:t>
      </w:r>
    </w:p>
    <w:p>
      <w:pPr>
        <w:spacing w:after="0" w:line="183" w:lineRule="exact"/>
        <w:rPr>
          <w:rFonts w:ascii="Times New Roman" w:cs="Times New Roman" w:eastAsia="Times New Roman" w:hAnsi="Times New Roman"/>
          <w:sz w:val="18"/>
          <w:szCs w:val="18"/>
          <w:color w:val="auto"/>
        </w:rPr>
      </w:pPr>
    </w:p>
    <w:p>
      <w:pPr>
        <w:ind w:right="140" w:firstLine="1448"/>
        <w:spacing w:after="0" w:line="266" w:lineRule="auto"/>
        <w:tabs>
          <w:tab w:leader="none" w:pos="170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to which the Participant becomes entitled upon the exercise of a Tandem Right may be made in (a) shares of Common Stock valued at Fair Market Value on the option surrender date, (b) cash or (y) a combination of cash and shares of Common Stock, as specified in the applicable Award Agreement.</w:t>
      </w:r>
    </w:p>
    <w:p>
      <w:pPr>
        <w:spacing w:after="0" w:line="171" w:lineRule="exact"/>
        <w:rPr>
          <w:rFonts w:ascii="Times New Roman" w:cs="Times New Roman" w:eastAsia="Times New Roman" w:hAnsi="Times New Roman"/>
          <w:sz w:val="18"/>
          <w:szCs w:val="18"/>
          <w:color w:val="auto"/>
        </w:rPr>
      </w:pPr>
    </w:p>
    <w:p>
      <w:pPr>
        <w:ind w:left="1240" w:hanging="224"/>
        <w:spacing w:after="0"/>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Stand-Alone Rights</w:t>
      </w:r>
      <w:r>
        <w:rPr>
          <w:rFonts w:ascii="Times New Roman" w:cs="Times New Roman" w:eastAsia="Times New Roman" w:hAnsi="Times New Roman"/>
          <w:sz w:val="18"/>
          <w:szCs w:val="18"/>
          <w:color w:val="auto"/>
        </w:rPr>
        <w:t>. The following terms and conditions shall govern the grant and exercise of Stand-alone Rights:</w:t>
      </w:r>
    </w:p>
    <w:p>
      <w:pPr>
        <w:spacing w:after="0" w:line="229" w:lineRule="exact"/>
        <w:rPr>
          <w:rFonts w:ascii="Times New Roman" w:cs="Times New Roman" w:eastAsia="Times New Roman" w:hAnsi="Times New Roman"/>
          <w:sz w:val="18"/>
          <w:szCs w:val="18"/>
          <w:color w:val="auto"/>
        </w:rPr>
      </w:pPr>
    </w:p>
    <w:p>
      <w:pPr>
        <w:ind w:firstLine="1448"/>
        <w:spacing w:after="0" w:line="266" w:lineRule="auto"/>
        <w:tabs>
          <w:tab w:leader="none" w:pos="16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Participants may be granted a Stand-alone Right not tied to any underlying option. The Stand-alone Right shall relate to a specified number of shares of Common Stock and shall be exercisable upon such terms and conditions as the Plan Administrator may establish. In no event, however, may the Stand-alone Right have a maximum term in excess of ten (10) years measured from the grant date.</w:t>
      </w:r>
    </w:p>
    <w:p>
      <w:pPr>
        <w:spacing w:after="0" w:line="175" w:lineRule="exact"/>
        <w:rPr>
          <w:rFonts w:ascii="Times New Roman" w:cs="Times New Roman" w:eastAsia="Times New Roman" w:hAnsi="Times New Roman"/>
          <w:sz w:val="18"/>
          <w:szCs w:val="18"/>
          <w:color w:val="auto"/>
        </w:rPr>
      </w:pPr>
    </w:p>
    <w:p>
      <w:pPr>
        <w:ind w:right="120" w:firstLine="1448"/>
        <w:spacing w:after="0" w:line="266" w:lineRule="auto"/>
        <w:tabs>
          <w:tab w:leader="none" w:pos="170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exercise of the Stand-alone Right, the holder shall be entitled to receive a distribution from the Company in an amount equal to the excess of (a) the aggregate Fair Market Value (on the exercise date) of the shares of Common Stock underlying the exercised right over (b) the aggregate base price in effect for those shares.</w:t>
      </w:r>
    </w:p>
    <w:p>
      <w:pPr>
        <w:spacing w:after="0" w:line="175" w:lineRule="exact"/>
        <w:rPr>
          <w:rFonts w:ascii="Times New Roman" w:cs="Times New Roman" w:eastAsia="Times New Roman" w:hAnsi="Times New Roman"/>
          <w:sz w:val="18"/>
          <w:szCs w:val="18"/>
          <w:color w:val="auto"/>
        </w:rPr>
      </w:pPr>
    </w:p>
    <w:p>
      <w:pPr>
        <w:ind w:right="120" w:firstLine="1448"/>
        <w:spacing w:after="0" w:line="266" w:lineRule="auto"/>
        <w:tabs>
          <w:tab w:leader="none" w:pos="175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underlying each Stand-alone Right and the base price in effect for those shares shall be determined by the Plan Administrator in its sole discretion at the time the Stand-alone Right is granted. In no event, however, may the base price per share be less than the Fair Market Value per underlying share of Common Stock on the grant date.</w:t>
      </w:r>
    </w:p>
    <w:p>
      <w:pPr>
        <w:spacing w:after="0" w:line="175" w:lineRule="exact"/>
        <w:rPr>
          <w:rFonts w:ascii="Times New Roman" w:cs="Times New Roman" w:eastAsia="Times New Roman" w:hAnsi="Times New Roman"/>
          <w:sz w:val="18"/>
          <w:szCs w:val="18"/>
          <w:color w:val="auto"/>
        </w:rPr>
      </w:pPr>
    </w:p>
    <w:p>
      <w:pPr>
        <w:ind w:right="40" w:firstLine="1448"/>
        <w:spacing w:after="0" w:line="282" w:lineRule="auto"/>
        <w:tabs>
          <w:tab w:leader="none" w:pos="174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with respect to an exercised Stand-alone Right may be made in (a) shares of Common Stock valued at Fair Market Value on the exercise date, (b) cash or (c) a combination of cash and shares of Common Stock, as specified in the applicable Award Agreement.</w:t>
      </w:r>
    </w:p>
    <w:p>
      <w:pPr>
        <w:spacing w:after="0" w:line="161" w:lineRule="exact"/>
        <w:rPr>
          <w:rFonts w:ascii="Times New Roman" w:cs="Times New Roman" w:eastAsia="Times New Roman" w:hAnsi="Times New Roman"/>
          <w:sz w:val="18"/>
          <w:szCs w:val="18"/>
          <w:color w:val="auto"/>
        </w:rPr>
      </w:pPr>
    </w:p>
    <w:p>
      <w:pPr>
        <w:jc w:val="both"/>
        <w:ind w:right="40" w:firstLine="1448"/>
        <w:spacing w:after="0" w:line="266" w:lineRule="auto"/>
        <w:tabs>
          <w:tab w:leader="none" w:pos="16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Stand-alone Right shall have no stockholder rights with respect to the shares subject to the Stand-alone Right unless and until such person shall have exercised the Stand-alone Right and become a holder of record of the shares of Common Stock issued upon the exercise of such Stand-alone Right.</w:t>
      </w:r>
    </w:p>
    <w:p>
      <w:pPr>
        <w:spacing w:after="0" w:line="171" w:lineRule="exact"/>
        <w:rPr>
          <w:rFonts w:ascii="Times New Roman" w:cs="Times New Roman" w:eastAsia="Times New Roman" w:hAnsi="Times New Roman"/>
          <w:sz w:val="18"/>
          <w:szCs w:val="18"/>
          <w:color w:val="auto"/>
        </w:rPr>
      </w:pPr>
    </w:p>
    <w:p>
      <w:pPr>
        <w:ind w:right="160" w:firstLine="1016"/>
        <w:spacing w:after="0" w:line="268" w:lineRule="auto"/>
        <w:tabs>
          <w:tab w:leader="none" w:pos="12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Post-Service Exercise</w:t>
      </w:r>
      <w:r>
        <w:rPr>
          <w:rFonts w:ascii="Times New Roman" w:cs="Times New Roman" w:eastAsia="Times New Roman" w:hAnsi="Times New Roman"/>
          <w:sz w:val="18"/>
          <w:szCs w:val="18"/>
          <w:color w:val="auto"/>
        </w:rPr>
        <w:t>. The provisions governing the exercise of Tandem Rights and Stand-alone Rights following the cessation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Service shall be substantially the same as those set forth in Section VI.D for the options granted under the Plan, and the Plan Administrator’s discretionary authority under Section VI.D(ii) shall also extend to any outstanding Tandem Rights and Stand-alone Rights.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576" w:right="339" w:bottom="0" w:gutter="0" w:footer="0" w:header="0"/>
        </w:sectPr>
      </w:pPr>
    </w:p>
    <w:bookmarkStart w:id="8" w:name="page9"/>
    <w:bookmarkEnd w:id="8"/>
    <w:p>
      <w:pPr>
        <w:ind w:left="32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VIII</w:t>
      </w:r>
      <w:r>
        <w:rPr>
          <w:sz w:val="20"/>
          <w:szCs w:val="20"/>
          <w:color w:val="auto"/>
        </w:rPr>
        <w:tab/>
      </w:r>
      <w:r>
        <w:rPr>
          <w:rFonts w:ascii="Times New Roman" w:cs="Times New Roman" w:eastAsia="Times New Roman" w:hAnsi="Times New Roman"/>
          <w:sz w:val="18"/>
          <w:szCs w:val="18"/>
          <w:b w:val="1"/>
          <w:bCs w:val="1"/>
          <w:color w:val="auto"/>
        </w:rPr>
        <w:t>STOCK AWARDS</w:t>
      </w:r>
    </w:p>
    <w:p>
      <w:pPr>
        <w:spacing w:after="0" w:line="225" w:lineRule="exact"/>
        <w:rPr>
          <w:sz w:val="20"/>
          <w:szCs w:val="20"/>
          <w:color w:val="auto"/>
        </w:rPr>
      </w:pPr>
    </w:p>
    <w:p>
      <w:pPr>
        <w:ind w:right="80" w:firstLine="1008"/>
        <w:spacing w:after="0" w:line="26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The Plan Administrator shall have full power and authority, exercisable in its sole discretion, to grant stock awards either as vested or unvested shares of Common Stock, through direct and immediate issuances. Each stock award shall be evidenced by an Award Agreement in the form approved by the Plan Administrator, provided, however, that the terms of each such Award Agreement shall not be inconsistent with the terms specified below.</w:t>
      </w:r>
    </w:p>
    <w:p>
      <w:pPr>
        <w:spacing w:after="0" w:line="176" w:lineRule="exact"/>
        <w:rPr>
          <w:sz w:val="20"/>
          <w:szCs w:val="20"/>
          <w:color w:val="auto"/>
        </w:rPr>
      </w:pPr>
    </w:p>
    <w:p>
      <w:pPr>
        <w:ind w:right="40" w:firstLine="1008"/>
        <w:spacing w:after="0" w:line="28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u w:val="single" w:color="auto"/>
          <w:color w:val="auto"/>
        </w:rPr>
        <w:t>Consideration</w:t>
      </w:r>
      <w:r>
        <w:rPr>
          <w:rFonts w:ascii="Times New Roman" w:cs="Times New Roman" w:eastAsia="Times New Roman" w:hAnsi="Times New Roman"/>
          <w:sz w:val="18"/>
          <w:szCs w:val="18"/>
          <w:color w:val="auto"/>
        </w:rPr>
        <w:t>. Shares of Common Stock may be issued under a stock award for any of the following items of consideration that the Plan Administrator may deem appropriate in each individual instance:</w:t>
      </w:r>
    </w:p>
    <w:p>
      <w:pPr>
        <w:spacing w:after="0" w:line="159" w:lineRule="exact"/>
        <w:rPr>
          <w:sz w:val="20"/>
          <w:szCs w:val="20"/>
          <w:color w:val="auto"/>
        </w:rPr>
      </w:pPr>
    </w:p>
    <w:p>
      <w:pPr>
        <w:ind w:left="1660" w:hanging="212"/>
        <w:spacing w:after="0"/>
        <w:tabs>
          <w:tab w:leader="none" w:pos="16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check made payable to the Company;</w:t>
      </w:r>
    </w:p>
    <w:p>
      <w:pPr>
        <w:spacing w:after="0" w:line="225" w:lineRule="exact"/>
        <w:rPr>
          <w:rFonts w:ascii="Times New Roman" w:cs="Times New Roman" w:eastAsia="Times New Roman" w:hAnsi="Times New Roman"/>
          <w:sz w:val="18"/>
          <w:szCs w:val="18"/>
          <w:color w:val="auto"/>
        </w:rPr>
      </w:pPr>
    </w:p>
    <w:p>
      <w:pPr>
        <w:ind w:left="1720" w:hanging="272"/>
        <w:spacing w:after="0"/>
        <w:tabs>
          <w:tab w:leader="none" w:pos="17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services rendered to the Company (or any Parent or Subsidiary); or</w:t>
      </w:r>
    </w:p>
    <w:p>
      <w:pPr>
        <w:spacing w:after="0" w:line="225" w:lineRule="exact"/>
        <w:rPr>
          <w:rFonts w:ascii="Times New Roman" w:cs="Times New Roman" w:eastAsia="Times New Roman" w:hAnsi="Times New Roman"/>
          <w:sz w:val="18"/>
          <w:szCs w:val="18"/>
          <w:color w:val="auto"/>
        </w:rPr>
      </w:pPr>
    </w:p>
    <w:p>
      <w:pPr>
        <w:ind w:left="1760" w:hanging="312"/>
        <w:spacing w:after="0"/>
        <w:tabs>
          <w:tab w:leader="none" w:pos="17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valid consideration under applicable law.</w:t>
      </w:r>
    </w:p>
    <w:p>
      <w:pPr>
        <w:spacing w:after="0" w:line="221" w:lineRule="exact"/>
        <w:rPr>
          <w:rFonts w:ascii="Times New Roman" w:cs="Times New Roman" w:eastAsia="Times New Roman" w:hAnsi="Times New Roman"/>
          <w:sz w:val="18"/>
          <w:szCs w:val="18"/>
          <w:color w:val="auto"/>
        </w:rPr>
      </w:pPr>
    </w:p>
    <w:p>
      <w:pPr>
        <w:ind w:left="1220" w:hanging="204"/>
        <w:spacing w:after="0"/>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Provisions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20" w:firstLine="1448"/>
        <w:spacing w:after="0" w:line="312" w:lineRule="auto"/>
        <w:tabs>
          <w:tab w:leader="none" w:pos="1655"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awards may, in the discretion of the Plan Administrator, be fully and immediately vested upon issuance as a bonus for Service rendered or may vest in one or more installments over the Participant’s period of Service and/or upon the attainment of specified performance objectives.</w:t>
      </w:r>
    </w:p>
    <w:p>
      <w:pPr>
        <w:spacing w:after="0" w:line="139" w:lineRule="exact"/>
        <w:rPr>
          <w:rFonts w:ascii="Times New Roman" w:cs="Times New Roman" w:eastAsia="Times New Roman" w:hAnsi="Times New Roman"/>
          <w:sz w:val="17"/>
          <w:szCs w:val="17"/>
          <w:color w:val="auto"/>
        </w:rPr>
      </w:pPr>
    </w:p>
    <w:p>
      <w:pPr>
        <w:ind w:right="300" w:firstLine="1448"/>
        <w:spacing w:after="0" w:line="261" w:lineRule="auto"/>
        <w:tabs>
          <w:tab w:leader="none" w:pos="170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shall also have the discretionary authority to structure one or more stock awards so that the shares of Common Stock subject to those Awards shall vest upon the achievement of pre-established performance objectives based on one or more Performance Goals and measured over the performance period specified by the Plan Administrator at the time of the grant of the Award. The elements of the vesting schedule applicable to any stock award shall be determined by the Plan Administrator and incorporated into the Award Agreement.</w:t>
      </w:r>
    </w:p>
    <w:p>
      <w:pPr>
        <w:spacing w:after="0" w:line="179" w:lineRule="exact"/>
        <w:rPr>
          <w:rFonts w:ascii="Times New Roman" w:cs="Times New Roman" w:eastAsia="Times New Roman" w:hAnsi="Times New Roman"/>
          <w:sz w:val="18"/>
          <w:szCs w:val="18"/>
          <w:color w:val="auto"/>
        </w:rPr>
      </w:pPr>
    </w:p>
    <w:p>
      <w:pPr>
        <w:ind w:right="40" w:firstLine="1448"/>
        <w:spacing w:after="0" w:line="256" w:lineRule="auto"/>
        <w:tabs>
          <w:tab w:leader="none" w:pos="17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Should the Participant cease to remain in Service while holding one or more unvested shares of Common Stock issued under a stock award or should the performance objectives not be attained with respect to one or more such unvested shares of Common Stock, then those shares shall be immediately surrendered to the Company for cancellation, and the Participant shall have no further stockholder rights with respect to those shares. To the extent the surrendered shares were previously issued to the Participant for consideration paid in cash or cash equivalent, the Company shall repay to the Participant the </w:t>
      </w:r>
      <w:r>
        <w:rPr>
          <w:rFonts w:ascii="Times New Roman" w:cs="Times New Roman" w:eastAsia="Times New Roman" w:hAnsi="Times New Roman"/>
          <w:sz w:val="18"/>
          <w:szCs w:val="18"/>
          <w:b w:val="1"/>
          <w:bCs w:val="1"/>
          <w:i w:val="1"/>
          <w:iCs w:val="1"/>
          <w:color w:val="auto"/>
        </w:rPr>
        <w:t>lower</w:t>
      </w:r>
      <w:r>
        <w:rPr>
          <w:rFonts w:ascii="Times New Roman" w:cs="Times New Roman" w:eastAsia="Times New Roman" w:hAnsi="Times New Roman"/>
          <w:sz w:val="18"/>
          <w:szCs w:val="18"/>
          <w:color w:val="auto"/>
        </w:rPr>
        <w:t xml:space="preserve"> of (a) the cash consideration paid for the surrendered shares or (b) the Fair Market Value of those shares at the time of cancellation.</w:t>
      </w:r>
    </w:p>
    <w:p>
      <w:pPr>
        <w:spacing w:after="0" w:line="187" w:lineRule="exact"/>
        <w:rPr>
          <w:rFonts w:ascii="Times New Roman" w:cs="Times New Roman" w:eastAsia="Times New Roman" w:hAnsi="Times New Roman"/>
          <w:sz w:val="18"/>
          <w:szCs w:val="18"/>
          <w:color w:val="auto"/>
        </w:rPr>
      </w:pPr>
    </w:p>
    <w:p>
      <w:pPr>
        <w:ind w:right="240" w:firstLine="1448"/>
        <w:spacing w:after="0" w:line="289" w:lineRule="auto"/>
        <w:tabs>
          <w:tab w:leader="none" w:pos="1745"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Administrator may in its discretion waive the surrender and cancellation of one or more unvested shares of Common Stock that would otherwise occur upon the cessation of the Participant’s Service or the non-attainment of the performance objectives applicable to those shares. Any such waiver shall result in the immediate vesting of the Participant’s interest in the shares of Common Stock as to which the waiver applies.</w:t>
      </w:r>
    </w:p>
    <w:p>
      <w:pPr>
        <w:spacing w:after="0" w:line="157" w:lineRule="exact"/>
        <w:rPr>
          <w:rFonts w:ascii="Times New Roman" w:cs="Times New Roman" w:eastAsia="Times New Roman" w:hAnsi="Times New Roman"/>
          <w:sz w:val="17"/>
          <w:szCs w:val="17"/>
          <w:color w:val="auto"/>
        </w:rPr>
      </w:pPr>
    </w:p>
    <w:p>
      <w:pPr>
        <w:ind w:firstLine="1448"/>
        <w:spacing w:after="0" w:line="254" w:lineRule="auto"/>
        <w:tabs>
          <w:tab w:leader="none" w:pos="16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substituted or additional securities or other property (including money paid other than as a regular cash dividend) that the Participant may have the right to receive with respect to the Participant’s unvested shares of Common Stock by reason of any stock dividend, stock split, recapitalization, combination of shares, exchange of shares, spin-off transaction, extraordinary dividend or distribution or other change affecting the outstanding shares of Common Stock as a class without the Company’s receipt of consideration shall be issued subject to (a) the same vesting requirements applicable to the Participant’s unvested shares of Common Stock and (b) such escrow arrangements as the Plan Administrator shall deem appropriate, unless and to the extent the Plan Administrator determines at the time to vest and distribute such securities or other property. Equitable adjustments to reflect each such transaction shall also be made by the Plan Administrator to the repurchase price payable per share by the Company for any unvested securities subject to its existing repurchase rights under the Plan, provided the aggregate repurchase price shall in each instance remain the same.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9" w:name="page10"/>
    <w:bookmarkEnd w:id="9"/>
    <w:p>
      <w:pPr>
        <w:ind w:left="22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color w:val="auto"/>
        </w:rPr>
        <w:t>RESTRICTED STOCK UNITS</w:t>
      </w:r>
    </w:p>
    <w:p>
      <w:pPr>
        <w:spacing w:after="0" w:line="225" w:lineRule="exact"/>
        <w:rPr>
          <w:sz w:val="20"/>
          <w:szCs w:val="20"/>
          <w:color w:val="auto"/>
        </w:rPr>
      </w:pPr>
    </w:p>
    <w:p>
      <w:pPr>
        <w:jc w:val="both"/>
        <w:ind w:right="20" w:firstLine="1008"/>
        <w:spacing w:after="0" w:line="26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The Plan Administrator shall have the full power and authority, exercisable in its sole discretion, to grant restricted stock units evidenced by an Award Agreement in the form approved by the Plan Administrator, provided, however, that the terms of each such Award Agreement shall not be inconsistent with the terms specified below.</w:t>
      </w:r>
    </w:p>
    <w:p>
      <w:pPr>
        <w:spacing w:after="0" w:line="171" w:lineRule="exact"/>
        <w:rPr>
          <w:sz w:val="20"/>
          <w:szCs w:val="20"/>
          <w:color w:val="auto"/>
        </w:rPr>
      </w:pPr>
    </w:p>
    <w:p>
      <w:pPr>
        <w:ind w:firstLine="1008"/>
        <w:spacing w:after="0" w:line="25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u w:val="single" w:color="auto"/>
          <w:color w:val="auto"/>
        </w:rPr>
        <w:t>Terms</w:t>
      </w:r>
      <w:r>
        <w:rPr>
          <w:rFonts w:ascii="Times New Roman" w:cs="Times New Roman" w:eastAsia="Times New Roman" w:hAnsi="Times New Roman"/>
          <w:sz w:val="18"/>
          <w:szCs w:val="18"/>
          <w:color w:val="auto"/>
        </w:rPr>
        <w:t>. Each restricted stock unit award shall entitle the Participant to receive the shares underlying that Award (or an amount based on the value of the shares) upon vesting or upon the expiration of a designated period following the vesting of the Award. Payment of shares underlying a restricted stock unit award may be deferred for a period specified by the Plan Administrator at the time the restricted stock unit award is initially granted or (to the extent permitted by the Plan Administrator) designated by the Participant pursuant to a timely deferral election made in accordance with the requirements of Code Section 409A. Restricted stock units subject to performance vesting may also be structured so that the underlying shares are convertible into shares of Common Stock (or a payment based on the value of the shares), but the rate at which each share is to so convert shall be based on the attained level of performance for each applicable performance objective.</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u w:val="single" w:color="auto"/>
          <w:color w:val="auto"/>
        </w:rPr>
        <w:t>Vesting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80" w:firstLine="1448"/>
        <w:spacing w:after="0" w:line="282" w:lineRule="auto"/>
        <w:tabs>
          <w:tab w:leader="none" w:pos="1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may, in the discretion of the Plan Administrator, vest in one or more installments over the Participant’s period of Service or upon the attainment of specified performance objectives.</w:t>
      </w:r>
    </w:p>
    <w:p>
      <w:pPr>
        <w:spacing w:after="0" w:line="161" w:lineRule="exact"/>
        <w:rPr>
          <w:rFonts w:ascii="Times New Roman" w:cs="Times New Roman" w:eastAsia="Times New Roman" w:hAnsi="Times New Roman"/>
          <w:sz w:val="18"/>
          <w:szCs w:val="18"/>
          <w:color w:val="auto"/>
        </w:rPr>
      </w:pPr>
    </w:p>
    <w:p>
      <w:pPr>
        <w:ind w:right="60" w:firstLine="1448"/>
        <w:spacing w:after="0" w:line="261" w:lineRule="auto"/>
        <w:tabs>
          <w:tab w:leader="none" w:pos="17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shall also have the discretionary authority to structure one or more restricted stock unit awards so that the shares of Common Stock subject to those Awards shall vest (or vest and become issuable) upon the achievement of pre-established performance objectives based on one or more Performance Goals and measured over the performance period specified by the Plan Administrator at the time of the grant of the Award.</w:t>
      </w:r>
    </w:p>
    <w:p>
      <w:pPr>
        <w:spacing w:after="0" w:line="179" w:lineRule="exact"/>
        <w:rPr>
          <w:rFonts w:ascii="Times New Roman" w:cs="Times New Roman" w:eastAsia="Times New Roman" w:hAnsi="Times New Roman"/>
          <w:sz w:val="18"/>
          <w:szCs w:val="18"/>
          <w:color w:val="auto"/>
        </w:rPr>
      </w:pPr>
    </w:p>
    <w:p>
      <w:pPr>
        <w:ind w:right="180" w:firstLine="1448"/>
        <w:spacing w:after="0" w:line="261" w:lineRule="auto"/>
        <w:tabs>
          <w:tab w:leader="none" w:pos="17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restricted stock units shall automatically terminate without any payment if the performance goals or Service requirements established for those Awards are not attained or satisfied. The Plan Administrator, however, shall have the discretionary authority to make a payment under one or more outstanding Awards of restricted stock units as to which the designated performance goals or Service requirements have not been attained or satisfied.</w:t>
      </w:r>
    </w:p>
    <w:p>
      <w:pPr>
        <w:spacing w:after="0" w:line="176" w:lineRule="exact"/>
        <w:rPr>
          <w:sz w:val="20"/>
          <w:szCs w:val="20"/>
          <w:color w:val="auto"/>
        </w:rPr>
      </w:pPr>
    </w:p>
    <w:p>
      <w:pPr>
        <w:ind w:right="60" w:firstLine="1008"/>
        <w:spacing w:after="0" w:line="26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Restricted stock units that vest may be settled in (i) cash, (ii) shares of Common Stock valued at Fair Market Value on the payment date or (iii) a combination of cash and shares of Common Stock, as determined by the Plan Administrator in its sole discretion and set forth in the Award Agreement.</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0" w:name="page11"/>
    <w:bookmarkEnd w:id="10"/>
    <w:p>
      <w:pPr>
        <w:ind w:left="660" w:hanging="463"/>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EQUIVALENT RIGHTS</w:t>
      </w:r>
    </w:p>
    <w:p>
      <w:pPr>
        <w:spacing w:after="0" w:line="225" w:lineRule="exact"/>
        <w:rPr>
          <w:rFonts w:ascii="Times New Roman" w:cs="Times New Roman" w:eastAsia="Times New Roman" w:hAnsi="Times New Roman"/>
          <w:sz w:val="18"/>
          <w:szCs w:val="18"/>
          <w:b w:val="1"/>
          <w:bCs w:val="1"/>
          <w:color w:val="auto"/>
        </w:rPr>
      </w:pPr>
    </w:p>
    <w:p>
      <w:pPr>
        <w:ind w:firstLine="1016"/>
        <w:spacing w:after="0" w:line="268" w:lineRule="auto"/>
        <w:tabs>
          <w:tab w:leader="none" w:pos="12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The Plan Administrator shall have full power and authority, exercisable in its sole discretion, to grant dividend equivalent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evidenced by an Award Agreement in the form approved by the Plan Administrator, provided however, that the terms of each such Award Agreement shall not be inconsistent with the terms specified below.</w:t>
      </w:r>
    </w:p>
    <w:p>
      <w:pPr>
        <w:spacing w:after="0" w:line="170" w:lineRule="exact"/>
        <w:rPr>
          <w:rFonts w:ascii="Times New Roman" w:cs="Times New Roman" w:eastAsia="Times New Roman" w:hAnsi="Times New Roman"/>
          <w:sz w:val="18"/>
          <w:szCs w:val="18"/>
          <w:color w:val="auto"/>
        </w:rPr>
      </w:pPr>
    </w:p>
    <w:p>
      <w:pPr>
        <w:ind w:right="40" w:firstLine="1016"/>
        <w:spacing w:after="0" w:line="268" w:lineRule="auto"/>
        <w:tabs>
          <w:tab w:leader="none" w:pos="12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Terms</w:t>
      </w:r>
      <w:r>
        <w:rPr>
          <w:rFonts w:ascii="Times New Roman" w:cs="Times New Roman" w:eastAsia="Times New Roman" w:hAnsi="Times New Roman"/>
          <w:sz w:val="18"/>
          <w:szCs w:val="18"/>
          <w:color w:val="auto"/>
        </w:rPr>
        <w:t>. The dividend equivalent rights may be granted as stand-alone awards or in tandem with other Awards made under the Plan,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equivalent rights shall not be granted in connection with an option or stock appreciation right. The term of each dividend equivalent right award shall be established by the Plan Administrator at the time of grant, but no such award shall have a term in excess of ten (10) years.</w:t>
      </w:r>
    </w:p>
    <w:p>
      <w:pPr>
        <w:spacing w:after="0" w:line="170" w:lineRule="exact"/>
        <w:rPr>
          <w:rFonts w:ascii="Times New Roman" w:cs="Times New Roman" w:eastAsia="Times New Roman" w:hAnsi="Times New Roman"/>
          <w:sz w:val="18"/>
          <w:szCs w:val="18"/>
          <w:color w:val="auto"/>
        </w:rPr>
      </w:pPr>
    </w:p>
    <w:p>
      <w:pPr>
        <w:ind w:right="40" w:firstLine="1016"/>
        <w:spacing w:after="0" w:line="259" w:lineRule="auto"/>
        <w:tabs>
          <w:tab w:leader="none" w:pos="121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Entitlement</w:t>
      </w:r>
      <w:r>
        <w:rPr>
          <w:rFonts w:ascii="Times New Roman" w:cs="Times New Roman" w:eastAsia="Times New Roman" w:hAnsi="Times New Roman"/>
          <w:sz w:val="18"/>
          <w:szCs w:val="18"/>
          <w:color w:val="auto"/>
        </w:rPr>
        <w:t>. Each dividend equivalent right shall represent the right to receive the economic equivalent of each dividend or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in cash, securities, or other property (other than shares of Common Stock), which is made per issued and outstanding share of Common Stock during the term the dividend equivalent right remains outstanding. A special account on the books of the Company shall be maintained for each Participant to whom a dividend equivalent right is granted, and that account shall be credited per dividend equivalent right with each such dividend or distribution made per issued and outstanding Common Stock during the term of that dividend equivalent right remains outstanding.</w:t>
      </w:r>
    </w:p>
    <w:p>
      <w:pPr>
        <w:spacing w:after="0" w:line="179" w:lineRule="exact"/>
        <w:rPr>
          <w:rFonts w:ascii="Times New Roman" w:cs="Times New Roman" w:eastAsia="Times New Roman" w:hAnsi="Times New Roman"/>
          <w:sz w:val="18"/>
          <w:szCs w:val="18"/>
          <w:color w:val="auto"/>
        </w:rPr>
      </w:pPr>
    </w:p>
    <w:p>
      <w:pPr>
        <w:ind w:right="60" w:firstLine="1016"/>
        <w:spacing w:after="0" w:line="257" w:lineRule="auto"/>
        <w:tabs>
          <w:tab w:leader="none" w:pos="122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Timing of Payment</w:t>
      </w:r>
      <w:r>
        <w:rPr>
          <w:rFonts w:ascii="Times New Roman" w:cs="Times New Roman" w:eastAsia="Times New Roman" w:hAnsi="Times New Roman"/>
          <w:sz w:val="18"/>
          <w:szCs w:val="18"/>
          <w:color w:val="auto"/>
        </w:rPr>
        <w:t>. Payment of the amounts credited to such book account shall not be made to the Participant prior to the vesting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Award (or the portion thereof to which the dividend equivalent right award relates), and no dividend equivalents shall vest or become payable until the underlying Award vests and becomes payable. Accordingly, dividend equivalent rights shall be subject to cancellation and forfeiture to the same extent as the underlying Award. Payment may be deferred for a period specified by the Plan Administrator at the time the dividend equivalent right award is initially granted or (to the extent permitted by the Plan Administrator) designated by the Participant pursuant to a timely deferral election made in accordance with the requirements of Code Section 409A.</w:t>
      </w:r>
    </w:p>
    <w:p>
      <w:pPr>
        <w:spacing w:after="0" w:line="182" w:lineRule="exact"/>
        <w:rPr>
          <w:rFonts w:ascii="Times New Roman" w:cs="Times New Roman" w:eastAsia="Times New Roman" w:hAnsi="Times New Roman"/>
          <w:sz w:val="18"/>
          <w:szCs w:val="18"/>
          <w:color w:val="auto"/>
        </w:rPr>
      </w:pPr>
    </w:p>
    <w:p>
      <w:pPr>
        <w:ind w:firstLine="1016"/>
        <w:spacing w:after="0" w:line="257" w:lineRule="auto"/>
        <w:tabs>
          <w:tab w:leader="none" w:pos="120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Payment</w:t>
      </w:r>
      <w:r>
        <w:rPr>
          <w:rFonts w:ascii="Times New Roman" w:cs="Times New Roman" w:eastAsia="Times New Roman" w:hAnsi="Times New Roman"/>
          <w:sz w:val="18"/>
          <w:szCs w:val="18"/>
          <w:color w:val="auto"/>
        </w:rPr>
        <w:t>. Payment of the amounts due with respect to dividend equivalent rights may be made in (i) cash, (ii)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or (iii) a combination of cash and shares of Common Stock, as determined by the Plan Administrator in its sole discretion and set forth in the Award Agreement. If payment is to be made in the form of shares of Common Stock, the number of shares of Common Stock into which the cash dividend or distribution amounts are to be converted for purposes of the Participant’s book account may be based on the Fair Market Value per share of Common Stock on the date of conversion, a prior date or an average of the Fair Market Value per share of Common Stock over a designated period, as determined by the Plan Administrator in its sole discretion.</w:t>
      </w:r>
    </w:p>
    <w:p>
      <w:pPr>
        <w:spacing w:after="0" w:line="182" w:lineRule="exact"/>
        <w:rPr>
          <w:sz w:val="20"/>
          <w:szCs w:val="20"/>
          <w:color w:val="auto"/>
        </w:rPr>
      </w:pPr>
    </w:p>
    <w:p>
      <w:pPr>
        <w:ind w:left="3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8"/>
          <w:szCs w:val="18"/>
          <w:b w:val="1"/>
          <w:bCs w:val="1"/>
          <w:color w:val="auto"/>
        </w:rPr>
        <w:t>OTHER AWARDS</w:t>
      </w:r>
    </w:p>
    <w:p>
      <w:pPr>
        <w:spacing w:after="0" w:line="229" w:lineRule="exact"/>
        <w:rPr>
          <w:sz w:val="20"/>
          <w:szCs w:val="20"/>
          <w:color w:val="auto"/>
        </w:rPr>
      </w:pPr>
    </w:p>
    <w:p>
      <w:pPr>
        <w:ind w:right="140" w:firstLine="450"/>
        <w:spacing w:after="0" w:line="255" w:lineRule="auto"/>
        <w:rPr>
          <w:sz w:val="20"/>
          <w:szCs w:val="20"/>
          <w:color w:val="auto"/>
        </w:rPr>
      </w:pPr>
      <w:r>
        <w:rPr>
          <w:rFonts w:ascii="Times New Roman" w:cs="Times New Roman" w:eastAsia="Times New Roman" w:hAnsi="Times New Roman"/>
          <w:sz w:val="18"/>
          <w:szCs w:val="18"/>
          <w:color w:val="auto"/>
        </w:rPr>
        <w:t>The Plan Administrator may grant other Awards denominated in shares of Common Stock (including performance shares or performance units) and other Awards providing for cash payments based in whole or in part on the value or future value of the Common Stock, alone or in tandem with other Awards, in such amounts as the Plan Administrator shall from time to time in its sole discretion determine. Other awards shall also include cash payments under the Plan that may be based on one or more criteria determined by the Plan Administrator that are unrelated to the value of Common Stock and that may be granted in tandem with, or independent of, other Awards under the Plan. Each other award granted under the Plan shall be evidenced by an Award Agreement in the form approved by the Plan Administrator. Each other award so granted shall be subject to such conditions not inconsistent with the Plan as may be reflected in the applicable Award Agreement.</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 w:name="page12"/>
    <w:bookmarkEnd w:id="11"/>
    <w:p>
      <w:pPr>
        <w:ind w:left="18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color w:val="auto"/>
        </w:rPr>
        <w:t>EFFECT OF CHANGE IN CONTROL</w:t>
      </w:r>
    </w:p>
    <w:p>
      <w:pPr>
        <w:spacing w:after="0" w:line="229" w:lineRule="exact"/>
        <w:rPr>
          <w:sz w:val="20"/>
          <w:szCs w:val="20"/>
          <w:color w:val="auto"/>
        </w:rPr>
      </w:pPr>
    </w:p>
    <w:p>
      <w:pPr>
        <w:ind w:right="100" w:firstLine="1008"/>
        <w:spacing w:after="0" w:line="255" w:lineRule="auto"/>
        <w:rPr>
          <w:sz w:val="20"/>
          <w:szCs w:val="20"/>
          <w:color w:val="auto"/>
        </w:rPr>
      </w:pPr>
      <w:r>
        <w:rPr>
          <w:rFonts w:ascii="Times New Roman" w:cs="Times New Roman" w:eastAsia="Times New Roman" w:hAnsi="Times New Roman"/>
          <w:sz w:val="18"/>
          <w:szCs w:val="18"/>
          <w:color w:val="auto"/>
        </w:rPr>
        <w:t>A. In the event of a Change in Control, each outstanding Award, as determined by the Plan Administrator in its sole discretion, may be (i) assumed by the successor corporation (or parent thereof), (ii) canceled and substituted with an Award granted by the successor corporation (or parent thereof), (iii) otherwise continued in full force and effect pursuant to the terms of the Change in Control transaction, or (iv) replaced with a cash retention program of the Company or any successor corporation (or parent thereof) that preserves the spread existing on the unvested Award shares subject to the Award at the time of the Change in Control (the excess of the Fair Market Value of those shares over the aggregate purchase price payable for such shares) and, subject to Section XII.C below, provides for subsequent payout of that spread in accordance with the same exercise/vesting schedule applicable to those unvested Award shares.</w:t>
      </w:r>
    </w:p>
    <w:p>
      <w:pPr>
        <w:spacing w:after="0" w:line="189" w:lineRule="exact"/>
        <w:rPr>
          <w:sz w:val="20"/>
          <w:szCs w:val="20"/>
          <w:color w:val="auto"/>
        </w:rPr>
      </w:pPr>
    </w:p>
    <w:p>
      <w:pPr>
        <w:ind w:right="20" w:firstLine="1008"/>
        <w:spacing w:after="0" w:line="252" w:lineRule="auto"/>
        <w:rPr>
          <w:sz w:val="20"/>
          <w:szCs w:val="20"/>
          <w:color w:val="auto"/>
        </w:rPr>
      </w:pPr>
      <w:r>
        <w:rPr>
          <w:rFonts w:ascii="Times New Roman" w:cs="Times New Roman" w:eastAsia="Times New Roman" w:hAnsi="Times New Roman"/>
          <w:sz w:val="18"/>
          <w:szCs w:val="18"/>
          <w:color w:val="auto"/>
        </w:rPr>
        <w:t>B. To the extent an outstanding Award is not assumed, substituted, continued, or replaced in accordance with Section XII.A, such Award shall automatically vest in full immediately prior to the effective date of the Change in Control, unless the acceleration of such Award is subject to other limitations imposed by the Plan Administrator at the time of the grant of the Award. The Plan Administrator in its sole discretion shall have the authority to provide that to the extent any such Award, as so accelerated, remains unexercised and outstanding on the effective date of the Change in Control, such Award shall terminate and cease to be outstanding. The holder of such Award shall become entitled to receive, upon consummation of the Change in Control and subject to Section XII.C, a lump sum cash payment in an amount equal to the product of (i) the number of shares of Common Stock subject to such Award and (ii) the excess of (a) the Fair Market Value per share of Common Stock on the date of the Change in Control over (b) the per share exercise price, base price or purchase price in effect for such Award. However, any such Award shall be subject to cancellation and termination, without cash payment or other consideration due the Award holder, if the Fair Market Value per share of Common Stock on the date of such Change in Control is less than the per share exercise price, base price, or purchase price in effect for such Award. Notwithstanding the foregoing, if any Award is subject to a performance-vesting condition tied to the attainment of one or more specified performance goals, and such Award is not to be so assumed, substituted, continued, or replaced, that Award shall vest based on actual performance attainment as of the date of the Change in Control or based on target level, immediately prior to the effective date of the actual Change in Control transaction, and the shares of Common Stock underlying the portion of the Award that vests on such accelerated basis shall be issued in accordance with the applicable Award Agreement, unless such accelerated vesting is precluded by other limitations imposed in the Award Agreement.</w:t>
      </w:r>
    </w:p>
    <w:p>
      <w:pPr>
        <w:spacing w:after="0" w:line="196" w:lineRule="exact"/>
        <w:rPr>
          <w:sz w:val="20"/>
          <w:szCs w:val="20"/>
          <w:color w:val="auto"/>
        </w:rPr>
      </w:pPr>
    </w:p>
    <w:p>
      <w:pPr>
        <w:ind w:right="140" w:firstLine="1008"/>
        <w:spacing w:after="0" w:line="266" w:lineRule="auto"/>
        <w:rPr>
          <w:sz w:val="20"/>
          <w:szCs w:val="20"/>
          <w:color w:val="auto"/>
        </w:rPr>
      </w:pPr>
      <w:r>
        <w:rPr>
          <w:rFonts w:ascii="Times New Roman" w:cs="Times New Roman" w:eastAsia="Times New Roman" w:hAnsi="Times New Roman"/>
          <w:sz w:val="18"/>
          <w:szCs w:val="18"/>
          <w:color w:val="auto"/>
        </w:rPr>
        <w:t>C. The Plan Administrator shall have the authority to provide that any escrow, holdback, earn-out or similar provisions in the definitive agreement effecting the Change in Control shall apply to any cash payment made pursuant to Section XII.A or Section XII.B to the same extent and in the same manner as such provisions apply to a holder of a share of Common Stock.</w:t>
      </w:r>
    </w:p>
    <w:p>
      <w:pPr>
        <w:spacing w:after="0" w:line="176" w:lineRule="exact"/>
        <w:rPr>
          <w:sz w:val="20"/>
          <w:szCs w:val="20"/>
          <w:color w:val="auto"/>
        </w:rPr>
      </w:pPr>
    </w:p>
    <w:p>
      <w:pPr>
        <w:ind w:right="220" w:firstLine="1008"/>
        <w:spacing w:after="0" w:line="266" w:lineRule="auto"/>
        <w:rPr>
          <w:sz w:val="20"/>
          <w:szCs w:val="20"/>
          <w:color w:val="auto"/>
        </w:rPr>
      </w:pPr>
      <w:r>
        <w:rPr>
          <w:rFonts w:ascii="Times New Roman" w:cs="Times New Roman" w:eastAsia="Times New Roman" w:hAnsi="Times New Roman"/>
          <w:sz w:val="18"/>
          <w:szCs w:val="18"/>
          <w:color w:val="auto"/>
        </w:rPr>
        <w:t>D. Immediately following the consummation of the Change in Control, all outstanding Awards shall terminate and cease to be outstanding, except to the extent assumed by the successor corporation (or parent thereof) or otherwise continued in full force and effect pursuant to the terms of the Change in Control transaction.</w:t>
      </w:r>
    </w:p>
    <w:p>
      <w:pPr>
        <w:spacing w:after="0" w:line="176" w:lineRule="exact"/>
        <w:rPr>
          <w:sz w:val="20"/>
          <w:szCs w:val="20"/>
          <w:color w:val="auto"/>
        </w:rPr>
      </w:pPr>
    </w:p>
    <w:p>
      <w:pPr>
        <w:ind w:right="40" w:firstLine="1008"/>
        <w:spacing w:after="0" w:line="261" w:lineRule="auto"/>
        <w:rPr>
          <w:sz w:val="20"/>
          <w:szCs w:val="20"/>
          <w:color w:val="auto"/>
        </w:rPr>
      </w:pPr>
      <w:r>
        <w:rPr>
          <w:rFonts w:ascii="Times New Roman" w:cs="Times New Roman" w:eastAsia="Times New Roman" w:hAnsi="Times New Roman"/>
          <w:sz w:val="18"/>
          <w:szCs w:val="18"/>
          <w:color w:val="auto"/>
        </w:rPr>
        <w:t>E. In the event of any Change in Control, the Plan Administrator in its sole discretion may determine that all outstanding repurchase or cancellation rights (i) are to be assigned to the successor corporation (or parent thereof) or otherwise continued in full force and effect pursuant to the terms of the Change in Control transaction or (ii) are to be terminated and the shares of Common Stock subject to those terminated rights are to immediately vest in full, unless such accelerated vesting is precluded by limitations imposed by the Plan Administrator at the time the right is issued.</w:t>
      </w:r>
    </w:p>
    <w:p>
      <w:pPr>
        <w:spacing w:after="0" w:line="180" w:lineRule="exact"/>
        <w:rPr>
          <w:sz w:val="20"/>
          <w:szCs w:val="20"/>
          <w:color w:val="auto"/>
        </w:rPr>
      </w:pPr>
    </w:p>
    <w:p>
      <w:pPr>
        <w:ind w:firstLine="1008"/>
        <w:spacing w:after="0" w:line="252" w:lineRule="auto"/>
        <w:rPr>
          <w:sz w:val="20"/>
          <w:szCs w:val="20"/>
          <w:color w:val="auto"/>
        </w:rPr>
      </w:pPr>
      <w:r>
        <w:rPr>
          <w:rFonts w:ascii="Times New Roman" w:cs="Times New Roman" w:eastAsia="Times New Roman" w:hAnsi="Times New Roman"/>
          <w:sz w:val="18"/>
          <w:szCs w:val="18"/>
          <w:color w:val="auto"/>
        </w:rPr>
        <w:t xml:space="preserve">F. Each Award that is assumed in connection with a Change in Control or otherwise continued in effect shall be appropriately adjusted, immediately after such Change in Control, to apply to the number and class of securities into which the shares of Common Stock subject to that Award would have been converted in consummation of such Change in Control had those shares been outstanding at that time. Notwithstanding the foregoing, if any Award is subject to a performance-vesting condition tied to the attainment of one or more specified performance goals and such Award is to be so assumed or continued, the performance-vesting conditions shall terminate, and the assumption or continuation of the Award shall be effected in accordance with this Section XII.F with the number of shares of Common Stock subject to the Award determined based on actual performance attainment as of the date of the Change in Control or based on target level, as determined by the Plan Administrator, and the service vesting and issuance provisions of the Award shall continue in effect with respect to the Award. Appropriate adjustments to reflect such Change in Control shall also be made to (i) the exercise or base price or cash consideration payable per share in effect under each outstanding Award,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aggregate exercise or base price or cash consideration in effect for such securities shall remain the same, (ii) the maximum number and/or class of securities available for issuance over the remaining term of the Plan, (iii) the maximum number and/or class of securities for which Incentive Options may be granted under the Plan, (iv) the maximum number and/or class of securities for which any one person may be granted Awards under the Plan per calendar year and (v) the number and/or class of securities subject to the Company’s outstanding repurchase rights under the Plan and the repurchase price payable per share. To the extent the actual holders of the Company’s outstanding shares of Common Stock receive cash consideration for their shares of Common Stock in consummation of the Change in Control, the successor corporation may, in connection with the assumption or continuation of the outstanding Awards under the Plan and subject to the Plan Administrator’s approval, substitute, for the securities underlying those assumed Awards, one or more shares of its own common stock with a fair market value equivalent to the cash consideration paid per shares of Common Stock in such Change in Control transaction.</w:t>
      </w:r>
    </w:p>
    <w:p>
      <w:pPr>
        <w:spacing w:after="0" w:line="193" w:lineRule="exact"/>
        <w:rPr>
          <w:sz w:val="20"/>
          <w:szCs w:val="20"/>
          <w:color w:val="auto"/>
        </w:rPr>
      </w:pPr>
    </w:p>
    <w:p>
      <w:pPr>
        <w:ind w:right="40" w:firstLine="1008"/>
        <w:spacing w:after="0" w:line="261" w:lineRule="auto"/>
        <w:rPr>
          <w:sz w:val="20"/>
          <w:szCs w:val="20"/>
          <w:color w:val="auto"/>
        </w:rPr>
      </w:pPr>
      <w:r>
        <w:rPr>
          <w:rFonts w:ascii="Times New Roman" w:cs="Times New Roman" w:eastAsia="Times New Roman" w:hAnsi="Times New Roman"/>
          <w:sz w:val="18"/>
          <w:szCs w:val="18"/>
          <w:color w:val="auto"/>
        </w:rPr>
        <w:t>G. The Plan Administrator shall have the discretion, exercisable either at the time an Award is granted or at any time while an Award remains outstanding, to structure such Award so that the shares subject to such Award will automatically vest on an accelerated basis should the Participant’s Service terminate by reason of an Involuntary Termination within a designated period following the effective date of any Change in Control in which the Award is assumed or otherwise continued in effect and the repurchase rights applicable to those shares do not otherwise terminate.</w:t>
      </w:r>
    </w:p>
    <w:p>
      <w:pPr>
        <w:spacing w:after="0" w:line="180" w:lineRule="exact"/>
        <w:rPr>
          <w:sz w:val="20"/>
          <w:szCs w:val="20"/>
          <w:color w:val="auto"/>
        </w:rPr>
      </w:pPr>
    </w:p>
    <w:p>
      <w:pPr>
        <w:ind w:right="120" w:firstLine="1008"/>
        <w:spacing w:after="0" w:line="266" w:lineRule="auto"/>
        <w:rPr>
          <w:sz w:val="20"/>
          <w:szCs w:val="20"/>
          <w:color w:val="auto"/>
        </w:rPr>
      </w:pPr>
      <w:r>
        <w:rPr>
          <w:rFonts w:ascii="Times New Roman" w:cs="Times New Roman" w:eastAsia="Times New Roman" w:hAnsi="Times New Roman"/>
          <w:sz w:val="18"/>
          <w:szCs w:val="18"/>
          <w:color w:val="auto"/>
        </w:rPr>
        <w:t>H. The portion of any Incentive Option accelerated in connection with a Change in Control shall remain exercisable as an Incentive Option only to the extent the applicable One Hundred Thousand Dollar ($100,000) limitation is not exceeded. To the extent such dollar limitation is exceeded, the accelerated portion of such option shall be exercisable as a Non-Statutory Option under the Federal tax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 w:name="page13"/>
    <w:bookmarkEnd w:id="12"/>
    <w:p>
      <w:pPr>
        <w:ind w:left="240"/>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XIII</w:t>
      </w:r>
      <w:r>
        <w:rPr>
          <w:sz w:val="20"/>
          <w:szCs w:val="20"/>
          <w:color w:val="auto"/>
        </w:rPr>
        <w:tab/>
      </w:r>
      <w:r>
        <w:rPr>
          <w:rFonts w:ascii="Times New Roman" w:cs="Times New Roman" w:eastAsia="Times New Roman" w:hAnsi="Times New Roman"/>
          <w:sz w:val="18"/>
          <w:szCs w:val="18"/>
          <w:b w:val="1"/>
          <w:bCs w:val="1"/>
          <w:color w:val="auto"/>
        </w:rPr>
        <w:t>REPRICING PROGRAMS</w:t>
      </w:r>
    </w:p>
    <w:p>
      <w:pPr>
        <w:spacing w:after="0" w:line="229"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The Plan Administrator shall not have the discretionary authority, except pursuant to Section V.D, to (i) implement cancellation/regrant programs pursuant to which outstanding options or stock appreciation rights under the Plan are cancelled and new options or stock appreciation rights are granted in replacement with a lower exercise or base price per share, (ii) cancel outstanding options or stock appreciation rights under the Plan with exercise or base prices per share in excess of the then current Fair Market Value per share of Common Stock for consideration payable in cash or in equity securities of the Company (except in the case of a Change in Control) or (iii) reduce the exercise or base price in effect for outstanding options or stock appreciation rights under the Plan, in any case without stockholder approval.</w:t>
      </w:r>
    </w:p>
    <w:p>
      <w:pPr>
        <w:spacing w:after="0" w:line="183" w:lineRule="exact"/>
        <w:rPr>
          <w:sz w:val="20"/>
          <w:szCs w:val="20"/>
          <w:color w:val="auto"/>
        </w:rPr>
      </w:pPr>
    </w:p>
    <w:p>
      <w:pPr>
        <w:ind w:left="30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XIV</w:t>
      </w:r>
      <w:r>
        <w:rPr>
          <w:sz w:val="20"/>
          <w:szCs w:val="20"/>
          <w:color w:val="auto"/>
        </w:rPr>
        <w:tab/>
      </w: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Deferred Compensation; Code Section 409A</w:t>
      </w:r>
    </w:p>
    <w:p>
      <w:pPr>
        <w:spacing w:after="0" w:line="229" w:lineRule="exact"/>
        <w:rPr>
          <w:sz w:val="20"/>
          <w:szCs w:val="20"/>
          <w:color w:val="auto"/>
        </w:rPr>
      </w:pPr>
    </w:p>
    <w:p>
      <w:pPr>
        <w:ind w:right="180" w:firstLine="1448"/>
        <w:spacing w:after="0" w:line="266" w:lineRule="auto"/>
        <w:tabs>
          <w:tab w:leader="none" w:pos="1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may, in its sole discretion, structure one or more Awards (other than options and stock appreciation rights) so that the Participants may be provided with an election to defer the compensation associated with those Awards for federal income tax purposes. Any such deferral opportunity shall comply with all applicable requirements of Code Section 409A.</w:t>
      </w:r>
    </w:p>
    <w:p>
      <w:pPr>
        <w:spacing w:after="0" w:line="175" w:lineRule="exact"/>
        <w:rPr>
          <w:rFonts w:ascii="Times New Roman" w:cs="Times New Roman" w:eastAsia="Times New Roman" w:hAnsi="Times New Roman"/>
          <w:sz w:val="18"/>
          <w:szCs w:val="18"/>
          <w:color w:val="auto"/>
        </w:rPr>
      </w:pPr>
    </w:p>
    <w:p>
      <w:pPr>
        <w:ind w:right="80" w:firstLine="1448"/>
        <w:spacing w:after="0" w:line="256" w:lineRule="auto"/>
        <w:tabs>
          <w:tab w:leader="none" w:pos="17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may implement a non-employee Board member retainer fee deferral program under the Plan so as to allow the non-employee Board members the opportunity to elect, prior to the start of each calendar year, to convert the Board and Board committee retainer fees to be earned for such year into restricted stock units under the Plan that will defer the issuance of the shares of Common Stock that vest under those restricted stock units until a permissible date or event under Code Section 409A. If such program is implemented, the Plan Administrator shall have the authority to establish such rules and procedures as it deems appropriate for the filing of such deferral elections and the designation of the permissible distribution events under Code Section 409A.</w:t>
      </w:r>
    </w:p>
    <w:p>
      <w:pPr>
        <w:spacing w:after="0" w:line="187" w:lineRule="exact"/>
        <w:rPr>
          <w:rFonts w:ascii="Times New Roman" w:cs="Times New Roman" w:eastAsia="Times New Roman" w:hAnsi="Times New Roman"/>
          <w:sz w:val="18"/>
          <w:szCs w:val="18"/>
          <w:color w:val="auto"/>
        </w:rPr>
      </w:pPr>
    </w:p>
    <w:p>
      <w:pPr>
        <w:ind w:right="80" w:firstLine="1448"/>
        <w:spacing w:after="0" w:line="258" w:lineRule="auto"/>
        <w:tabs>
          <w:tab w:leader="none" w:pos="17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maintains one or more separate non-qualified deferred compensation arrangements that allow the participants the opportunity to make notional investments of their deferred account balances in shares of Common Stock, the Plan Administrator may authorize the share reserve under the Plan to serve as the source of any shares of Common Stock that become payable under those deferred compensation arrangements. In such event, the share reserve under the Plan shall be reduced on a share-for-share basis for each share of Common Stock issued under the Plan in settlement of the deferred compensation owed under those separate arrangements.</w:t>
      </w:r>
    </w:p>
    <w:p>
      <w:pPr>
        <w:spacing w:after="0" w:line="183" w:lineRule="exact"/>
        <w:rPr>
          <w:rFonts w:ascii="Times New Roman" w:cs="Times New Roman" w:eastAsia="Times New Roman" w:hAnsi="Times New Roman"/>
          <w:sz w:val="18"/>
          <w:szCs w:val="18"/>
          <w:color w:val="auto"/>
        </w:rPr>
      </w:pPr>
    </w:p>
    <w:p>
      <w:pPr>
        <w:ind w:firstLine="1448"/>
        <w:spacing w:after="0" w:line="253" w:lineRule="auto"/>
        <w:tabs>
          <w:tab w:leader="none" w:pos="17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Award is subject to Code Section 409A, (a) distributions shall only be made in a manner and upon an event permitted under Code Section 409A, (b) payments to be made upon a termination of employment or service shall only be made upon a “separation from service” under Code Section 409A, (c) payments to be made upon a Change in Control shall only be made upon a “change of control event” under Code Section 409A, (d) unless the Award specifies otherwise, each payment shall be treated as a separate payment for purposes of Code Section 409A, and (e) in no event shall a Participant, directly or indirectly, designate the calendar year in which a distribution is made except in accordance with Code Section 409A. Any Award granted under the Plan that is subject to Code Section 409A and that is to be distributed to a specified employee (as defined under Code Section 409A) upon separation from service shall be administered so that any distribution with respect to such Award shall be postponed for six (6) months following the date of the Participant’s separation from service, if required by Code Section 409A. If a distribution is delayed pursuant to Code Section 409A, the distribution shall be paid within thirty (30) days after the end of the six (6)-month period. If the Participant dies during such six (6)-month period, any postponed amounts shall be paid within sixty (60) days of the Participant’s death. The Plan Administrator may adopt such amendments to the Plan and the applicable Award Agreement or adopt policies and procedures (including amendments, policies, and procedures with retroactive effect), or take any other actions, that the Plan Administrator determines are necessary or appropriate to (a) exempt the Award from Code Section 409A and/or preserve the intended tax treatment of the benefits provided with respect to the Award, or (b) comply with the requirements of Code Section 409A.</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3" w:name="page14"/>
    <w:bookmarkEnd w:id="13"/>
    <w:p>
      <w:pPr>
        <w:ind w:left="10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u w:val="single" w:color="auto"/>
          <w:color w:val="auto"/>
        </w:rPr>
        <w:t>Transferability of Awards</w:t>
      </w:r>
      <w:r>
        <w:rPr>
          <w:rFonts w:ascii="Times New Roman" w:cs="Times New Roman" w:eastAsia="Times New Roman" w:hAnsi="Times New Roman"/>
          <w:sz w:val="18"/>
          <w:szCs w:val="18"/>
          <w:color w:val="auto"/>
        </w:rPr>
        <w:t>. The transferability of Awards granted under the Plan shall be governed by the following provisions:</w:t>
      </w:r>
    </w:p>
    <w:p>
      <w:pPr>
        <w:spacing w:after="0" w:line="227" w:lineRule="exact"/>
        <w:rPr>
          <w:sz w:val="20"/>
          <w:szCs w:val="20"/>
          <w:color w:val="auto"/>
        </w:rPr>
      </w:pPr>
    </w:p>
    <w:p>
      <w:pPr>
        <w:ind w:left="-20" w:right="80" w:firstLine="1448"/>
        <w:spacing w:after="0" w:line="284" w:lineRule="auto"/>
        <w:tabs>
          <w:tab w:leader="none" w:pos="163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Incentive Options</w:t>
      </w:r>
      <w:r>
        <w:rPr>
          <w:rFonts w:ascii="Times New Roman" w:cs="Times New Roman" w:eastAsia="Times New Roman" w:hAnsi="Times New Roman"/>
          <w:sz w:val="18"/>
          <w:szCs w:val="18"/>
          <w:color w:val="auto"/>
        </w:rPr>
        <w:t>. During the lifetime of the Participant, Incentive Options shall be exercisable only by the Participant and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assignable or transferable other than by will or the laws of inheritance following the Participant’s death.</w:t>
      </w:r>
    </w:p>
    <w:p>
      <w:pPr>
        <w:spacing w:after="0" w:line="158" w:lineRule="exact"/>
        <w:rPr>
          <w:rFonts w:ascii="Times New Roman" w:cs="Times New Roman" w:eastAsia="Times New Roman" w:hAnsi="Times New Roman"/>
          <w:sz w:val="18"/>
          <w:szCs w:val="18"/>
          <w:color w:val="auto"/>
        </w:rPr>
      </w:pPr>
    </w:p>
    <w:p>
      <w:pPr>
        <w:ind w:left="-20" w:firstLine="1448"/>
        <w:spacing w:after="0" w:line="256" w:lineRule="auto"/>
        <w:tabs>
          <w:tab w:leader="none" w:pos="168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 Awards</w:t>
      </w:r>
      <w:r>
        <w:rPr>
          <w:rFonts w:ascii="Times New Roman" w:cs="Times New Roman" w:eastAsia="Times New Roman" w:hAnsi="Times New Roman"/>
          <w:sz w:val="18"/>
          <w:szCs w:val="18"/>
          <w:color w:val="auto"/>
        </w:rPr>
        <w:t>. All other Awards shall be subject to the same limitation on transfer as Incentive Options, except that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may structure one or more such Awards so that the Award may be assigned in whole or in part during the Participant’s lifetime to one or more Family Members of the Participant or to a trust established exclusively for the Participant and/or such Family Members, to the extent such assignment is in connection with the Participant’s estate plan or pursuant to a domestic relations order. The assigned portion of an Award may only be exercised (if applicable) by the person or persons who acquire a proprietary interest in the Award pursuant to the assignment. The terms applicable to the assigned portion of the Award shall be the same as those in effect for the Award immediately prior to such assignment and shall be set forth in such documents issued to the assignee as the Plan Administrator may deem appropriate.</w:t>
      </w:r>
    </w:p>
    <w:p>
      <w:pPr>
        <w:spacing w:after="0" w:line="182" w:lineRule="exact"/>
        <w:rPr>
          <w:rFonts w:ascii="Times New Roman" w:cs="Times New Roman" w:eastAsia="Times New Roman" w:hAnsi="Times New Roman"/>
          <w:sz w:val="18"/>
          <w:szCs w:val="18"/>
          <w:color w:val="auto"/>
        </w:rPr>
      </w:pPr>
    </w:p>
    <w:p>
      <w:pPr>
        <w:ind w:left="-20" w:firstLine="1448"/>
        <w:spacing w:after="0" w:line="257" w:lineRule="auto"/>
        <w:tabs>
          <w:tab w:leader="none" w:pos="173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Beneficiary Designation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Notwithstanding the foregoing, a Participant may, to the extent permitted by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 one or more persons as the beneficiary or beneficiaries of some or all of the Participant’s outstanding Awards, and those Awards shall, in accordance with such designation and to the extent valid under applicable law, automatically be transferred to such beneficiary or beneficiaries upon the Participant’s death while holding those Awards. Such beneficiary or beneficiaries shall take the transferred Awards subject to all the terms and conditions of the applicable agreement evidencing each such transferred Award, including (without limitation) the limited time period during which the Award may be exercised (if applicable) following the Participant’s death.</w:t>
      </w:r>
    </w:p>
    <w:p>
      <w:pPr>
        <w:spacing w:after="0" w:line="180" w:lineRule="exact"/>
        <w:rPr>
          <w:rFonts w:ascii="Times New Roman" w:cs="Times New Roman" w:eastAsia="Times New Roman" w:hAnsi="Times New Roman"/>
          <w:sz w:val="18"/>
          <w:szCs w:val="18"/>
          <w:color w:val="auto"/>
        </w:rPr>
      </w:pPr>
    </w:p>
    <w:p>
      <w:pPr>
        <w:ind w:left="-20" w:right="120" w:firstLine="1016"/>
        <w:spacing w:after="0" w:line="259" w:lineRule="auto"/>
        <w:tabs>
          <w:tab w:leader="none" w:pos="11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Stockholder Rights</w:t>
      </w:r>
      <w:r>
        <w:rPr>
          <w:rFonts w:ascii="Times New Roman" w:cs="Times New Roman" w:eastAsia="Times New Roman" w:hAnsi="Times New Roman"/>
          <w:sz w:val="18"/>
          <w:szCs w:val="18"/>
          <w:color w:val="auto"/>
        </w:rPr>
        <w:t>. A Participant shall not have any of the rights of a stockholder (including the right to vote or receive dividends)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shares of Common Stock covered by an Award until the Participant becomes the holder of record of such shares. A Participant may be granted the right to receive dividend equivalents under Section X with respect to one or more outstanding Awards. However, any dividend or dividend equivalent payable in connection with an unvested Award shall not be paid until and unless the underlying Award vests and shall be subject to risk of forfeiture to the same extent as the underlying Award.</w:t>
      </w:r>
    </w:p>
    <w:p>
      <w:pPr>
        <w:spacing w:after="0" w:line="179" w:lineRule="exact"/>
        <w:rPr>
          <w:rFonts w:ascii="Times New Roman" w:cs="Times New Roman" w:eastAsia="Times New Roman" w:hAnsi="Times New Roman"/>
          <w:sz w:val="18"/>
          <w:szCs w:val="18"/>
          <w:color w:val="auto"/>
        </w:rPr>
      </w:pPr>
    </w:p>
    <w:p>
      <w:pPr>
        <w:ind w:left="-20" w:right="40" w:firstLine="1016"/>
        <w:spacing w:after="0" w:line="252" w:lineRule="auto"/>
        <w:tabs>
          <w:tab w:leader="none" w:pos="12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 No Guarantee of Tax Treatment</w:t>
      </w:r>
      <w:r>
        <w:rPr>
          <w:rFonts w:ascii="Times New Roman" w:cs="Times New Roman" w:eastAsia="Times New Roman" w:hAnsi="Times New Roman"/>
          <w:sz w:val="18"/>
          <w:szCs w:val="18"/>
          <w:color w:val="auto"/>
        </w:rPr>
        <w:t>. The Company’s obligation to deliver shares of Common Stock, other securities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upon the exercise, issuance, vesting or settlement of an Award under the Plan shall be subject to the satisfaction of all applicable Withholding Tax requirements. The Company (or any Parent or Subsidiary employing or retaining the Participant) shall have the right and is hereby authorized to withhold, from any cash, shares of Common Stock, other securities or other property issuable or deliverable under any Award or from any compensation or other amounts owing to the Participant, the amount (in cash, shares of Common Stock, other securities or other property) of any required Withholding Taxes in respect of an Award and to take such other action as may be necessary in the opinion of the Plan Administrator to satisfy all obligations for the payment of such Withholding Taxes. Without limiting the generality of the foregoing, the Plan Administrator may, in its sole discretion, permit a Participant to satisfy the foregoing Withholding Tax liability in whole or in part by (i) the delivery of shares of Common Stock previously acquired by such individual (other than in connection with the exercise, issuance, vesting or settlement triggering the Withholding Taxes) with an aggregate Fair Market Value equal to the Withholding Taxes or (ii) having the Company withhold, from the shares of Common Stock otherwise issuable upon the issuance, exercise, vesting or settlement of such Award, a portion of those shares with an aggregate Fair Market Value at the time of delivery equal to the Withholding Taxes, in each case at a withholding rate determined by the Plan Administrator but in no event to exceed the maximum statutory rate applicable to the Participant to the extent necessary to avoid adverse accounting treatment. Notwithstanding any provisions of the Plan to the contrary, the Company does not guarantee to any Participant or any other person with an interest in an Award that (x) any Award intended to be exempt from Code Section 409A shall be so exempt, (y) any Award intended to comply with Code Section 409A or Code Section 422 shall so comply, or (z) any Award shall otherwise receive a specific tax treatment under any other applicable tax law, nor in any such case will the Company or any affiliate be required to indemnify, defend or hold harmless any individual with respect to the tax consequences of any Award.</w:t>
      </w:r>
    </w:p>
    <w:p>
      <w:pPr>
        <w:spacing w:after="0" w:line="193" w:lineRule="exact"/>
        <w:rPr>
          <w:rFonts w:ascii="Times New Roman" w:cs="Times New Roman" w:eastAsia="Times New Roman" w:hAnsi="Times New Roman"/>
          <w:sz w:val="18"/>
          <w:szCs w:val="18"/>
          <w:color w:val="auto"/>
        </w:rPr>
      </w:pPr>
    </w:p>
    <w:p>
      <w:pPr>
        <w:ind w:left="-20" w:right="180" w:firstLine="1016"/>
        <w:spacing w:after="0" w:line="268" w:lineRule="auto"/>
        <w:tabs>
          <w:tab w:leader="none" w:pos="11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 Escrow/Legends</w:t>
      </w:r>
      <w:r>
        <w:rPr>
          <w:rFonts w:ascii="Times New Roman" w:cs="Times New Roman" w:eastAsia="Times New Roman" w:hAnsi="Times New Roman"/>
          <w:sz w:val="18"/>
          <w:szCs w:val="18"/>
          <w:color w:val="auto"/>
        </w:rPr>
        <w:t>. Unvested shares may, in the Plan Administrator’s discretion, be held in escrow by the Company until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interest in such shares vests or may be issued directly to the Participant with restrictive legends on the certificates evidencing those unvested shares.</w:t>
      </w:r>
    </w:p>
    <w:p>
      <w:pPr>
        <w:spacing w:after="0" w:line="170" w:lineRule="exact"/>
        <w:rPr>
          <w:rFonts w:ascii="Times New Roman" w:cs="Times New Roman" w:eastAsia="Times New Roman" w:hAnsi="Times New Roman"/>
          <w:sz w:val="18"/>
          <w:szCs w:val="18"/>
          <w:color w:val="auto"/>
        </w:rPr>
      </w:pPr>
    </w:p>
    <w:p>
      <w:pPr>
        <w:ind w:left="1180" w:hanging="184"/>
        <w:spacing w:after="0"/>
        <w:tabs>
          <w:tab w:leader="none" w:pos="1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Effective Date and Term of the Plan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0" w:right="80" w:firstLine="1862"/>
        <w:spacing w:after="0" w:line="258" w:lineRule="auto"/>
        <w:tabs>
          <w:tab w:leader="none" w:pos="2049"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became effective on October 18, 2022, the date on which the Plan was approved by the stockholders (the “Plan Effective Date”). The Plan was subsequently amended by the Board to increase the share reserve by 19,901 shares and such amendment was approved by the stockholders on September 6, 2023. The Plan was further amended by the Board on April 18, 2024, subject to stockholder approval at the 2024 Annual Meeting, to increase the share reserve by 650,000 shares. The Plan was further amended by the Board on March 26, 2025, subject to stockholder approval at the 2025 Annual Meeting, to increase the share reserve by 150,000 shares.</w:t>
      </w:r>
    </w:p>
    <w:p>
      <w:pPr>
        <w:spacing w:after="0" w:line="179" w:lineRule="exact"/>
        <w:rPr>
          <w:rFonts w:ascii="Times New Roman" w:cs="Times New Roman" w:eastAsia="Times New Roman" w:hAnsi="Times New Roman"/>
          <w:sz w:val="18"/>
          <w:szCs w:val="18"/>
          <w:color w:val="auto"/>
        </w:rPr>
      </w:pPr>
    </w:p>
    <w:p>
      <w:pPr>
        <w:ind w:left="-20" w:right="20" w:firstLine="1862"/>
        <w:spacing w:after="0" w:line="259" w:lineRule="auto"/>
        <w:tabs>
          <w:tab w:leader="none" w:pos="2099"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Plan shall terminate upon the </w:t>
      </w:r>
      <w:r>
        <w:rPr>
          <w:rFonts w:ascii="Times New Roman" w:cs="Times New Roman" w:eastAsia="Times New Roman" w:hAnsi="Times New Roman"/>
          <w:sz w:val="18"/>
          <w:szCs w:val="18"/>
          <w:b w:val="1"/>
          <w:bCs w:val="1"/>
          <w:i w:val="1"/>
          <w:iCs w:val="1"/>
          <w:color w:val="auto"/>
        </w:rPr>
        <w:t>earliest</w:t>
      </w:r>
      <w:r>
        <w:rPr>
          <w:rFonts w:ascii="Times New Roman" w:cs="Times New Roman" w:eastAsia="Times New Roman" w:hAnsi="Times New Roman"/>
          <w:sz w:val="18"/>
          <w:szCs w:val="18"/>
          <w:color w:val="auto"/>
        </w:rPr>
        <w:t xml:space="preserve"> to occur of (a) the date immediately preceding the tenth anniversary of the Plan Effective Date, (b) the date on which all shares available for issuance under the Plan shall have been issued as fully vested shares, (c) the termination of all outstanding Awards in connection with a Change in Control, or (d) the termination of the Plan by the Board. Should the Plan terminate under subsection (a) or (b) above, then all Awards outstanding at that time shall continue to have force and effect in accordance with the provisions of the documents evidencing those Awards.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76" w:right="339" w:bottom="1440" w:gutter="0" w:footer="0" w:header="0"/>
        </w:sectPr>
      </w:pPr>
    </w:p>
    <w:bookmarkStart w:id="14" w:name="page15"/>
    <w:bookmarkEnd w:id="14"/>
    <w:p>
      <w:pPr>
        <w:ind w:left="1000"/>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u w:val="single" w:color="auto"/>
          <w:color w:val="auto"/>
        </w:rPr>
        <w:t>Termination and Amendment of the Plan and Awards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20" w:right="40" w:firstLine="1448"/>
        <w:spacing w:after="0" w:line="258" w:lineRule="auto"/>
        <w:tabs>
          <w:tab w:leader="none" w:pos="163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complete and exclusive power and authority to terminate the Plan at any time. The Board shall also have complete and exclusive power and authority to amend or modify the Plan in any or all respects, subject to stockholder approval to the extent required under applicable law or regulation or pursuant to the listing standards of the Stock Exchange on which the shares of Common Stock are at the time primarily traded. However, no such amendment or modification shall adversely affect the rights and obligations with respect to Awards at the time outstanding under the Plan unless the Participant consents to such amendment or modification.</w:t>
      </w:r>
    </w:p>
    <w:p>
      <w:pPr>
        <w:spacing w:after="0" w:line="183" w:lineRule="exact"/>
        <w:rPr>
          <w:rFonts w:ascii="Times New Roman" w:cs="Times New Roman" w:eastAsia="Times New Roman" w:hAnsi="Times New Roman"/>
          <w:sz w:val="18"/>
          <w:szCs w:val="18"/>
          <w:color w:val="auto"/>
        </w:rPr>
      </w:pPr>
    </w:p>
    <w:p>
      <w:pPr>
        <w:ind w:left="-20" w:right="80" w:firstLine="1448"/>
        <w:spacing w:after="0" w:line="258" w:lineRule="auto"/>
        <w:tabs>
          <w:tab w:leader="none" w:pos="168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made under the Plan that involve shares of Common Stock in excess of the number of shares then available for issuance under the Plan, provided no shares shall be issued pursuant to those Awards until the number of shares of Common Stock available for issuance under the Plan is sufficiently increased by stockholder approval of an amendment of the Plan authorizing such increase. If such stockholder approval is not obtained within twelve (12) months after the date the first excess Award is made, then all Awards granted based on such excess shares shall terminate and cease to be outstanding.</w:t>
      </w:r>
    </w:p>
    <w:p>
      <w:pPr>
        <w:spacing w:after="0" w:line="183" w:lineRule="exact"/>
        <w:rPr>
          <w:rFonts w:ascii="Times New Roman" w:cs="Times New Roman" w:eastAsia="Times New Roman" w:hAnsi="Times New Roman"/>
          <w:sz w:val="18"/>
          <w:szCs w:val="18"/>
          <w:color w:val="auto"/>
        </w:rPr>
      </w:pPr>
    </w:p>
    <w:p>
      <w:pPr>
        <w:ind w:left="-20" w:right="100" w:firstLine="1448"/>
        <w:spacing w:after="0" w:line="258" w:lineRule="auto"/>
        <w:tabs>
          <w:tab w:leader="none" w:pos="173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Administrator shall have the power and authority to amend or modify any Award without the Participant’s consent to the extent the Plan Administrator determines such amendment or modification is (A) required under applicable law or regulation or pursuant to the listing standards of the Stock Exchange on which the shares of Common Stock are at the time primarily traded, (B) necessary to preserve favorable accounting or tax treatment of any Award, or (C) necessary to enable an Award intended to be exempt from Code Section 409A to continue to be so exempt, or to enable an Award intended to comply with Code Section 409A to continue to so comply.</w:t>
      </w:r>
    </w:p>
    <w:p>
      <w:pPr>
        <w:spacing w:after="0" w:line="179" w:lineRule="exact"/>
        <w:rPr>
          <w:rFonts w:ascii="Times New Roman" w:cs="Times New Roman" w:eastAsia="Times New Roman" w:hAnsi="Times New Roman"/>
          <w:sz w:val="18"/>
          <w:szCs w:val="18"/>
          <w:color w:val="auto"/>
        </w:rPr>
      </w:pPr>
    </w:p>
    <w:p>
      <w:pPr>
        <w:ind w:left="-20" w:firstLine="1016"/>
        <w:spacing w:after="0" w:line="262" w:lineRule="auto"/>
        <w:tabs>
          <w:tab w:leader="none" w:pos="12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Subplans</w:t>
      </w:r>
      <w:r>
        <w:rPr>
          <w:rFonts w:ascii="Times New Roman" w:cs="Times New Roman" w:eastAsia="Times New Roman" w:hAnsi="Times New Roman"/>
          <w:sz w:val="18"/>
          <w:szCs w:val="18"/>
          <w:color w:val="auto"/>
        </w:rPr>
        <w:t>. The Compensation Committee shall have the discretionary authority to adopt and implement from time to time such addenda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subplans to the Plan as it may deem necessary to bring the Plan into compliance with applicable laws and regulations of any foreign jurisdictions in which Awards are to be made under the Plan and/or to obtain favorable tax treatment in those foreign jurisdictions for the individuals to whom the Awards are made.</w:t>
      </w:r>
    </w:p>
    <w:p>
      <w:pPr>
        <w:spacing w:after="0" w:line="176" w:lineRule="exact"/>
        <w:rPr>
          <w:rFonts w:ascii="Times New Roman" w:cs="Times New Roman" w:eastAsia="Times New Roman" w:hAnsi="Times New Roman"/>
          <w:sz w:val="18"/>
          <w:szCs w:val="18"/>
          <w:color w:val="auto"/>
        </w:rPr>
      </w:pPr>
    </w:p>
    <w:p>
      <w:pPr>
        <w:ind w:left="-20" w:right="180" w:firstLine="1016"/>
        <w:spacing w:after="0" w:line="286" w:lineRule="auto"/>
        <w:tabs>
          <w:tab w:leader="none" w:pos="113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Use of Proceeds</w:t>
      </w:r>
      <w:r>
        <w:rPr>
          <w:rFonts w:ascii="Times New Roman" w:cs="Times New Roman" w:eastAsia="Times New Roman" w:hAnsi="Times New Roman"/>
          <w:sz w:val="18"/>
          <w:szCs w:val="18"/>
          <w:color w:val="auto"/>
        </w:rPr>
        <w:t>. Any cash proceeds received by the Company from the sale of shares of Common Stock under the Plan shall be used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corporate purposes.</w:t>
      </w:r>
    </w:p>
    <w:p>
      <w:pPr>
        <w:spacing w:after="0" w:line="154" w:lineRule="exact"/>
        <w:rPr>
          <w:rFonts w:ascii="Times New Roman" w:cs="Times New Roman" w:eastAsia="Times New Roman" w:hAnsi="Times New Roman"/>
          <w:sz w:val="18"/>
          <w:szCs w:val="18"/>
          <w:color w:val="auto"/>
        </w:rPr>
      </w:pPr>
    </w:p>
    <w:p>
      <w:pPr>
        <w:ind w:left="1160" w:hanging="164"/>
        <w:spacing w:after="0"/>
        <w:tabs>
          <w:tab w:leader="none" w:pos="1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Regulatory Approvals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0" w:right="60" w:firstLine="1448"/>
        <w:spacing w:after="0" w:line="261" w:lineRule="auto"/>
        <w:tabs>
          <w:tab w:leader="none" w:pos="163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Plan, the granting of any Award under the Plan and the issuance of any shares of Common Stock in connection with the issuance, exercise, vesting or settlement of any Award under the Plan shall be subject to the Company’s procurement of all approvals and permits required by regulatory authorities having jurisdiction over the Plan, the Awards made under the Plan and the shares of Common Stock issuable pursuant to those Awards.</w:t>
      </w:r>
    </w:p>
    <w:p>
      <w:pPr>
        <w:spacing w:after="0" w:line="179" w:lineRule="exact"/>
        <w:rPr>
          <w:rFonts w:ascii="Times New Roman" w:cs="Times New Roman" w:eastAsia="Times New Roman" w:hAnsi="Times New Roman"/>
          <w:sz w:val="18"/>
          <w:szCs w:val="18"/>
          <w:color w:val="auto"/>
        </w:rPr>
      </w:pPr>
    </w:p>
    <w:p>
      <w:pPr>
        <w:ind w:left="-20" w:right="440" w:firstLine="1448"/>
        <w:spacing w:after="0" w:line="266" w:lineRule="auto"/>
        <w:tabs>
          <w:tab w:leader="none" w:pos="168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Common Stock or other assets shall be issued or delivered under the Plan unless and until there shall have been compliance with all applicable requirements of applicable securities laws, and all applicable listing requirements of any Stock Exchange on which the shares of Common Stock are then listed for trading.</w:t>
      </w:r>
    </w:p>
    <w:p>
      <w:pPr>
        <w:spacing w:after="0" w:line="171" w:lineRule="exact"/>
        <w:rPr>
          <w:rFonts w:ascii="Times New Roman" w:cs="Times New Roman" w:eastAsia="Times New Roman" w:hAnsi="Times New Roman"/>
          <w:sz w:val="18"/>
          <w:szCs w:val="18"/>
          <w:color w:val="auto"/>
        </w:rPr>
      </w:pPr>
    </w:p>
    <w:p>
      <w:pPr>
        <w:ind w:left="-20" w:right="160" w:firstLine="1016"/>
        <w:spacing w:after="0" w:line="262" w:lineRule="auto"/>
        <w:tabs>
          <w:tab w:leader="none" w:pos="120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Employment/Service Rights</w:t>
      </w:r>
      <w:r>
        <w:rPr>
          <w:rFonts w:ascii="Times New Roman" w:cs="Times New Roman" w:eastAsia="Times New Roman" w:hAnsi="Times New Roman"/>
          <w:sz w:val="18"/>
          <w:szCs w:val="18"/>
          <w:color w:val="auto"/>
        </w:rPr>
        <w:t>. Nothing in the Plan shall confer upon the Participant any right to continue in Service for any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duration or interfere with or otherwise restrict in any way the rights of the Company (or any Parent or Subsidiary employing or retaining such person) or of the Participant, which rights are hereby expressly reserved by each, to terminate such person’s Service at any time for any reason, with or without cause.</w:t>
      </w:r>
    </w:p>
    <w:p>
      <w:pPr>
        <w:spacing w:after="0" w:line="176" w:lineRule="exact"/>
        <w:rPr>
          <w:rFonts w:ascii="Times New Roman" w:cs="Times New Roman" w:eastAsia="Times New Roman" w:hAnsi="Times New Roman"/>
          <w:sz w:val="18"/>
          <w:szCs w:val="18"/>
          <w:color w:val="auto"/>
        </w:rPr>
      </w:pPr>
    </w:p>
    <w:p>
      <w:pPr>
        <w:jc w:val="both"/>
        <w:ind w:left="-20" w:right="160" w:firstLine="1016"/>
        <w:spacing w:after="0" w:line="268" w:lineRule="auto"/>
        <w:tabs>
          <w:tab w:leader="none" w:pos="11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Recoupment</w:t>
      </w:r>
      <w:r>
        <w:rPr>
          <w:rFonts w:ascii="Times New Roman" w:cs="Times New Roman" w:eastAsia="Times New Roman" w:hAnsi="Times New Roman"/>
          <w:sz w:val="18"/>
          <w:szCs w:val="18"/>
          <w:color w:val="auto"/>
        </w:rPr>
        <w:t>. Participants shall be subject to any clawback, recoupment or other similar policy adopted by the Board as in effect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from time to time and Awards and any cash, shares of Common Stock or other property or amounts due, paid, or issued to a Participant shall be subject to the terms of such policy, as in effect (and as modified) from time to time.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76"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definitions shall be in effect under the Plan:</w:t>
      </w:r>
    </w:p>
    <w:p>
      <w:pPr>
        <w:spacing w:after="0" w:line="221" w:lineRule="exact"/>
        <w:rPr>
          <w:sz w:val="20"/>
          <w:szCs w:val="20"/>
          <w:color w:val="auto"/>
        </w:rPr>
      </w:pPr>
    </w:p>
    <w:p>
      <w:pPr>
        <w:ind w:right="240" w:firstLine="1008"/>
        <w:spacing w:after="0" w:line="28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xml:space="preserve"> shall mean any of the following awards authorized for issuance or grant under the Plan: options, stock appreciation rights, stock awards, restricted stock units, dividend equivalents and other awards.</w:t>
      </w:r>
    </w:p>
    <w:p>
      <w:pPr>
        <w:spacing w:after="0" w:line="155" w:lineRule="exact"/>
        <w:rPr>
          <w:sz w:val="20"/>
          <w:szCs w:val="20"/>
          <w:color w:val="auto"/>
        </w:rPr>
      </w:pPr>
    </w:p>
    <w:p>
      <w:pPr>
        <w:ind w:right="100" w:firstLine="1008"/>
        <w:spacing w:after="0" w:line="28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u w:val="single" w:color="auto"/>
          <w:color w:val="auto"/>
        </w:rPr>
        <w:t>Award Agreement</w:t>
      </w:r>
      <w:r>
        <w:rPr>
          <w:rFonts w:ascii="Times New Roman" w:cs="Times New Roman" w:eastAsia="Times New Roman" w:hAnsi="Times New Roman"/>
          <w:sz w:val="18"/>
          <w:szCs w:val="18"/>
          <w:color w:val="auto"/>
        </w:rPr>
        <w:t xml:space="preserve"> shall mean the written agreement(s) between the Company and the Participant evidencing a particular Award made to that individual under the Plan, as such agreement(s) may be in effect from time to time.</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xml:space="preserve"> shall mean the Company’s Board of Directors.</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u w:val="single" w:color="auto"/>
          <w:color w:val="auto"/>
        </w:rPr>
        <w:t>Cause</w:t>
      </w:r>
      <w:r>
        <w:rPr>
          <w:rFonts w:ascii="Times New Roman" w:cs="Times New Roman" w:eastAsia="Times New Roman" w:hAnsi="Times New Roman"/>
          <w:sz w:val="18"/>
          <w:szCs w:val="18"/>
          <w:color w:val="auto"/>
        </w:rPr>
        <w:t xml:space="preserve"> shall, with respect to each Award made under the Plan, be defined in accordance with the following provisions:</w:t>
      </w:r>
    </w:p>
    <w:p>
      <w:pPr>
        <w:spacing w:after="0" w:line="229" w:lineRule="exact"/>
        <w:rPr>
          <w:sz w:val="20"/>
          <w:szCs w:val="20"/>
          <w:color w:val="auto"/>
        </w:rPr>
      </w:pPr>
    </w:p>
    <w:p>
      <w:pPr>
        <w:ind w:right="140" w:firstLine="1448"/>
        <w:spacing w:after="0" w:line="282" w:lineRule="auto"/>
        <w:tabs>
          <w:tab w:leader="none" w:pos="165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shall have the meaning assigned to such term in the Award Agreement for the Award or in any other agreement incorporated by reference into the Award Agreement for purposes of defining such term.</w:t>
      </w:r>
    </w:p>
    <w:p>
      <w:pPr>
        <w:spacing w:after="0" w:line="161" w:lineRule="exact"/>
        <w:rPr>
          <w:rFonts w:ascii="Times New Roman" w:cs="Times New Roman" w:eastAsia="Times New Roman" w:hAnsi="Times New Roman"/>
          <w:sz w:val="18"/>
          <w:szCs w:val="18"/>
          <w:color w:val="auto"/>
        </w:rPr>
      </w:pPr>
    </w:p>
    <w:p>
      <w:pPr>
        <w:ind w:firstLine="1448"/>
        <w:spacing w:after="0" w:line="255" w:lineRule="auto"/>
        <w:tabs>
          <w:tab w:leader="none" w:pos="170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any other Cause definition in the Award Agreement for a particular Award (or in any other agreement incorporated by reference into the Award Agreement), an individual’s termination of Service shall be deemed to be for Cause if such termination occurs, in the Company’s reasonable good faith belief by reason of the person’s commission of any act of fraud, embezzlement, dishonesty, or sexual harassment, the person’s refusal or failure to comply in any material respect with any written policies or procedures of the Company, any Parent or Subsidiary, or the Board (including, without limitation, the Company’s anti-discrimination and harassment policies and the Company’s drug and alcohol policy), any unauthorized use or disclosure by such person of confidential information or trade secrets of the Company (or any Parent or Subsidiary), or any other gross negligence or misconduct by such person adversely affecting the business or affairs of the Company (or any Parent or Subsidiary) in a material manner.</w:t>
      </w:r>
    </w:p>
    <w:p>
      <w:pPr>
        <w:spacing w:after="0" w:line="184" w:lineRule="exact"/>
        <w:rPr>
          <w:rFonts w:ascii="Times New Roman" w:cs="Times New Roman" w:eastAsia="Times New Roman" w:hAnsi="Times New Roman"/>
          <w:sz w:val="18"/>
          <w:szCs w:val="18"/>
          <w:color w:val="auto"/>
        </w:rPr>
      </w:pPr>
    </w:p>
    <w:p>
      <w:pPr>
        <w:ind w:left="1220" w:hanging="204"/>
        <w:spacing w:after="0"/>
        <w:tabs>
          <w:tab w:leader="none" w:pos="1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with respect to each Award made under the Plan, be defined in accordance with the following provisions:</w:t>
      </w:r>
    </w:p>
    <w:p>
      <w:pPr>
        <w:spacing w:after="0" w:line="229" w:lineRule="exact"/>
        <w:rPr>
          <w:rFonts w:ascii="Times New Roman" w:cs="Times New Roman" w:eastAsia="Times New Roman" w:hAnsi="Times New Roman"/>
          <w:sz w:val="18"/>
          <w:szCs w:val="18"/>
          <w:color w:val="auto"/>
        </w:rPr>
      </w:pPr>
    </w:p>
    <w:p>
      <w:pPr>
        <w:ind w:right="200" w:firstLine="1448"/>
        <w:spacing w:after="0" w:line="282" w:lineRule="auto"/>
        <w:tabs>
          <w:tab w:leader="none" w:pos="165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shall have the meaning assigned to such term in the Award Agreement for the Award or in any other agreement incorporated by reference into the Award Agreement for purposes of defining such term.</w:t>
      </w:r>
    </w:p>
    <w:p>
      <w:pPr>
        <w:spacing w:after="0" w:line="161" w:lineRule="exact"/>
        <w:rPr>
          <w:rFonts w:ascii="Times New Roman" w:cs="Times New Roman" w:eastAsia="Times New Roman" w:hAnsi="Times New Roman"/>
          <w:sz w:val="18"/>
          <w:szCs w:val="18"/>
          <w:color w:val="auto"/>
        </w:rPr>
      </w:pPr>
    </w:p>
    <w:p>
      <w:pPr>
        <w:ind w:right="520" w:firstLine="1448"/>
        <w:spacing w:after="0" w:line="266" w:lineRule="auto"/>
        <w:tabs>
          <w:tab w:leader="none" w:pos="170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any other Change in Control definition in the Award Agreement (or in any other agreement incorporated by reference into the Award Agreement), Change in Control shall mean a change in ownership or control of the Company effected through any of the following transactions:</w:t>
      </w:r>
    </w:p>
    <w:p>
      <w:pPr>
        <w:spacing w:after="0" w:line="175" w:lineRule="exact"/>
        <w:rPr>
          <w:rFonts w:ascii="Times New Roman" w:cs="Times New Roman" w:eastAsia="Times New Roman" w:hAnsi="Times New Roman"/>
          <w:sz w:val="18"/>
          <w:szCs w:val="18"/>
          <w:color w:val="auto"/>
        </w:rPr>
      </w:pPr>
    </w:p>
    <w:p>
      <w:pPr>
        <w:ind w:right="40" w:firstLine="2006"/>
        <w:spacing w:after="0" w:line="261" w:lineRule="auto"/>
        <w:tabs>
          <w:tab w:leader="none" w:pos="2243"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consolidation or other reorganization approved by the Company’s stockholders, unless securities representing fifty percent (50%) or more of the total combined voting power of the voting securities of the successor corporation are immediately thereafter beneficially owned, directly or indirectly and in substantially the same proportion, by the persons who beneficially owned the Company’s outstanding voting securities immediately prior to such transaction;</w:t>
      </w:r>
    </w:p>
    <w:p>
      <w:pPr>
        <w:spacing w:after="0" w:line="179" w:lineRule="exact"/>
        <w:rPr>
          <w:rFonts w:ascii="Times New Roman" w:cs="Times New Roman" w:eastAsia="Times New Roman" w:hAnsi="Times New Roman"/>
          <w:sz w:val="18"/>
          <w:szCs w:val="18"/>
          <w:color w:val="auto"/>
        </w:rPr>
      </w:pPr>
    </w:p>
    <w:p>
      <w:pPr>
        <w:ind w:left="2260" w:hanging="254"/>
        <w:spacing w:after="0"/>
        <w:tabs>
          <w:tab w:leader="none" w:pos="226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transfer, or other disposition of all or substantially all of the Company’s assets;</w:t>
      </w:r>
    </w:p>
    <w:p>
      <w:pPr>
        <w:spacing w:after="0" w:line="225" w:lineRule="exact"/>
        <w:rPr>
          <w:rFonts w:ascii="Times New Roman" w:cs="Times New Roman" w:eastAsia="Times New Roman" w:hAnsi="Times New Roman"/>
          <w:sz w:val="18"/>
          <w:szCs w:val="18"/>
          <w:color w:val="auto"/>
        </w:rPr>
      </w:pPr>
    </w:p>
    <w:p>
      <w:pPr>
        <w:ind w:right="120" w:firstLine="2006"/>
        <w:spacing w:after="0" w:line="254" w:lineRule="auto"/>
        <w:tabs>
          <w:tab w:leader="none" w:pos="2243"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any transaction or series of related transactions pursuant to which any person or any group of persons comprising a “group” within the meaning of Rule 13d-5(b)(1) of the 1934 Act (other than the Company or a person that, prior to such transaction or series of related transactions, directly or indirectly controls, is controlled by or is under common control with, the Company) acquires directly or indirectly (whether as a result of a single acquisition or by reason of one or more acquisitions within the twelve (12)-month period ending with the most recent acquisition) beneficial ownership (within the meaning of Rule 13d-3 of the 1934 Act) of securities possessing (or convertible into or exercisable for securities possessing) fifty percent (50%) or more of the total combined voting power of the Company’s securities (as measured in terms of the power to vote with respect to the election of Board members) outstanding immediately after the consummation of such transaction or series of related transactions, whether such transaction involves a direct issuance from the Company or the acquisition of outstanding securities held by one or more of the Company’s existing stockholders; or</w:t>
      </w:r>
    </w:p>
    <w:p>
      <w:pPr>
        <w:spacing w:after="0" w:line="188" w:lineRule="exact"/>
        <w:rPr>
          <w:rFonts w:ascii="Times New Roman" w:cs="Times New Roman" w:eastAsia="Times New Roman" w:hAnsi="Times New Roman"/>
          <w:sz w:val="18"/>
          <w:szCs w:val="18"/>
          <w:color w:val="auto"/>
        </w:rPr>
      </w:pPr>
    </w:p>
    <w:p>
      <w:pPr>
        <w:ind w:right="60" w:firstLine="2006"/>
        <w:spacing w:after="0" w:line="261" w:lineRule="auto"/>
        <w:tabs>
          <w:tab w:leader="none" w:pos="2253"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over a period of twelve (12)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80" w:lineRule="exact"/>
        <w:rPr>
          <w:sz w:val="20"/>
          <w:szCs w:val="20"/>
          <w:color w:val="auto"/>
        </w:rPr>
      </w:pPr>
    </w:p>
    <w:p>
      <w:pPr>
        <w:ind w:right="160" w:firstLine="1440"/>
        <w:spacing w:after="0" w:line="256" w:lineRule="auto"/>
        <w:rPr>
          <w:sz w:val="20"/>
          <w:szCs w:val="20"/>
          <w:color w:val="auto"/>
        </w:rPr>
      </w:pPr>
      <w:r>
        <w:rPr>
          <w:rFonts w:ascii="Times New Roman" w:cs="Times New Roman" w:eastAsia="Times New Roman" w:hAnsi="Times New Roman"/>
          <w:sz w:val="18"/>
          <w:szCs w:val="18"/>
          <w:color w:val="auto"/>
        </w:rPr>
        <w:t>Solely with respect to any Award that constitutes “deferred compensation” subject to Section 409A of the Code and that is payable on account of a Change in Control (including any installments or stream of payments that are accelerated on account of a Change in Control), a Change in Control shall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or form of payment that complies with Section 409A of the Code, without altering the definition of Change in Control for purposes of determining whether a Participant’s rights to such Award become vested or otherwise unconditional upon the Change in Control.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ind w:left="1020"/>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xml:space="preserve"> shall mean the Internal Revenue Code of 1986, as amended.</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xml:space="preserve"> shall mean the Company’s common stock.</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u w:val="single" w:color="auto"/>
          <w:color w:val="auto"/>
        </w:rPr>
        <w:t>Compensation Committee</w:t>
      </w:r>
      <w:r>
        <w:rPr>
          <w:rFonts w:ascii="Times New Roman" w:cs="Times New Roman" w:eastAsia="Times New Roman" w:hAnsi="Times New Roman"/>
          <w:sz w:val="18"/>
          <w:szCs w:val="18"/>
          <w:color w:val="auto"/>
        </w:rPr>
        <w:t xml:space="preserve"> shall mean the Compensation Committee of the Board.</w:t>
      </w:r>
    </w:p>
    <w:p>
      <w:pPr>
        <w:spacing w:after="0" w:line="225" w:lineRule="exact"/>
        <w:rPr>
          <w:sz w:val="20"/>
          <w:szCs w:val="20"/>
          <w:color w:val="auto"/>
        </w:rPr>
      </w:pPr>
    </w:p>
    <w:p>
      <w:pPr>
        <w:ind w:right="280" w:firstLine="1008"/>
        <w:spacing w:after="0" w:line="28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xml:space="preserve"> shall mean SeaStar Medical Holding Corporation, a Delaware corporation, and any successor to all or substantially all of the assets or voting stock of SeaStar Medical Holding Corporation.</w:t>
      </w:r>
    </w:p>
    <w:p>
      <w:pPr>
        <w:spacing w:after="0" w:line="155" w:lineRule="exact"/>
        <w:rPr>
          <w:sz w:val="20"/>
          <w:szCs w:val="20"/>
          <w:color w:val="auto"/>
        </w:rPr>
      </w:pPr>
    </w:p>
    <w:p>
      <w:pPr>
        <w:ind w:right="260" w:firstLine="1008"/>
        <w:spacing w:after="0" w:line="268"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b w:val="1"/>
          <w:bCs w:val="1"/>
          <w:u w:val="single" w:color="auto"/>
          <w:color w:val="auto"/>
        </w:rPr>
        <w:t>Employee</w:t>
      </w:r>
      <w:r>
        <w:rPr>
          <w:rFonts w:ascii="Times New Roman" w:cs="Times New Roman" w:eastAsia="Times New Roman" w:hAnsi="Times New Roman"/>
          <w:sz w:val="18"/>
          <w:szCs w:val="18"/>
          <w:color w:val="auto"/>
        </w:rPr>
        <w:t xml:space="preserve"> shall mean an individual who is in the employ of the Company (or any Parent or Subsidiary, whether now existing or subsequently established), subject to the control and direction of the employer entity as to both the work to be performed and the manner and method of performance.</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b w:val="1"/>
          <w:bCs w:val="1"/>
          <w:u w:val="single" w:color="auto"/>
          <w:color w:val="auto"/>
        </w:rPr>
        <w:t>Exercise Date</w:t>
      </w:r>
      <w:r>
        <w:rPr>
          <w:rFonts w:ascii="Times New Roman" w:cs="Times New Roman" w:eastAsia="Times New Roman" w:hAnsi="Times New Roman"/>
          <w:sz w:val="18"/>
          <w:szCs w:val="18"/>
          <w:color w:val="auto"/>
        </w:rPr>
        <w:t xml:space="preserve"> shall mean the date on which the Company shall have received written notice of the option exercise.</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color w:val="auto"/>
        </w:rPr>
        <w:t xml:space="preserve"> per share of Common Stock on any relevant date shall be determined in accordance with the following provisions:</w:t>
      </w:r>
    </w:p>
    <w:p>
      <w:pPr>
        <w:spacing w:after="0" w:line="229" w:lineRule="exact"/>
        <w:rPr>
          <w:sz w:val="20"/>
          <w:szCs w:val="20"/>
          <w:color w:val="auto"/>
        </w:rPr>
      </w:pPr>
    </w:p>
    <w:p>
      <w:pPr>
        <w:ind w:right="60" w:firstLine="1448"/>
        <w:spacing w:after="0" w:line="256" w:lineRule="auto"/>
        <w:tabs>
          <w:tab w:leader="none" w:pos="1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at the time traded on a Stock Exchange, then the Fair Market Value shall be the closing selling price per share of Common Stock at the close of regular hours trading (i.e., before after-hours trading begins) on the date in question on the Stock Exchange serving as the primary market for the Common Stock, as such price is reported by the National Association of Securities Dealers (if primarily traded on The Nasdaq Global or The Nasdaq Global Select Market) or as officially quoted in the composite tape of transactions on any other Stock Exchange on which the Common Stock is then primarily traded. If there is no closing selling price for the Common Stock on the date in question, then the Fair Market Value shall be the closing selling price on the last preceding date for which such quotation exists.</w:t>
      </w:r>
    </w:p>
    <w:p>
      <w:pPr>
        <w:spacing w:after="0" w:line="187" w:lineRule="exact"/>
        <w:rPr>
          <w:rFonts w:ascii="Times New Roman" w:cs="Times New Roman" w:eastAsia="Times New Roman" w:hAnsi="Times New Roman"/>
          <w:sz w:val="18"/>
          <w:szCs w:val="18"/>
          <w:color w:val="auto"/>
        </w:rPr>
      </w:pPr>
    </w:p>
    <w:p>
      <w:pPr>
        <w:ind w:firstLine="1448"/>
        <w:spacing w:after="0" w:line="258" w:lineRule="auto"/>
        <w:tabs>
          <w:tab w:leader="none" w:pos="170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Stock is at the time quoted on a national or regional securities exchange or market system (including over-the-counter markets and The Nasdaq Capital Market) determined by the Plan Administrator to be the primary market for the shares of Common Stock, then the Fair Market Value shall be the closing selling price per share of Common Stock on the date in question, as such price is officially reported by such exchange or market system. If there is no closing selling price for the shares of Common Stock on the date in question, then the Fair Market Value shall be the closing selling price of a share of Common Stock on the last preceding date for which such quotation exists.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7" w:name="page18"/>
    <w:bookmarkEnd w:id="17"/>
    <w:p>
      <w:pPr>
        <w:ind w:right="300" w:firstLine="1008"/>
        <w:spacing w:after="0" w:line="286"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b w:val="1"/>
          <w:bCs w:val="1"/>
          <w:u w:val="single" w:color="auto"/>
          <w:color w:val="auto"/>
        </w:rPr>
        <w:t>Family Member</w:t>
      </w:r>
      <w:r>
        <w:rPr>
          <w:rFonts w:ascii="Times New Roman" w:cs="Times New Roman" w:eastAsia="Times New Roman" w:hAnsi="Times New Roman"/>
          <w:sz w:val="18"/>
          <w:szCs w:val="18"/>
          <w:color w:val="auto"/>
        </w:rPr>
        <w:t xml:space="preserve"> shall mean, with respect to a particular Participant, any child, stepchild, grandchild, parent, stepparent, grandparent, spouse, former spouse, sibling, niece, nephew, mother-in-law, father-in-law, son-in-law, daughter-in-law, brother-in-law, or sister-in-law.</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b w:val="1"/>
          <w:bCs w:val="1"/>
          <w:u w:val="single" w:color="auto"/>
          <w:color w:val="auto"/>
        </w:rPr>
        <w:t>Good Reason</w:t>
      </w:r>
      <w:r>
        <w:rPr>
          <w:rFonts w:ascii="Times New Roman" w:cs="Times New Roman" w:eastAsia="Times New Roman" w:hAnsi="Times New Roman"/>
          <w:sz w:val="18"/>
          <w:szCs w:val="18"/>
          <w:color w:val="auto"/>
        </w:rPr>
        <w:t xml:space="preserve"> shall, with respect to each Award made under the Plan, be defined in accordance with the following provisions:</w:t>
      </w:r>
    </w:p>
    <w:p>
      <w:pPr>
        <w:spacing w:after="0" w:line="229" w:lineRule="exact"/>
        <w:rPr>
          <w:sz w:val="20"/>
          <w:szCs w:val="20"/>
          <w:color w:val="auto"/>
        </w:rPr>
      </w:pPr>
    </w:p>
    <w:p>
      <w:pPr>
        <w:ind w:right="500" w:firstLine="1448"/>
        <w:spacing w:after="0" w:line="282" w:lineRule="auto"/>
        <w:tabs>
          <w:tab w:leader="none" w:pos="1655"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shall have the meaning assigned to such term in the Award Agreement for the Award or in any other agreement incorporated by reference into the Award Agreement for purposes of defining such term.</w:t>
      </w:r>
    </w:p>
    <w:p>
      <w:pPr>
        <w:spacing w:after="0" w:line="161" w:lineRule="exact"/>
        <w:rPr>
          <w:rFonts w:ascii="Times New Roman" w:cs="Times New Roman" w:eastAsia="Times New Roman" w:hAnsi="Times New Roman"/>
          <w:sz w:val="18"/>
          <w:szCs w:val="18"/>
          <w:color w:val="auto"/>
        </w:rPr>
      </w:pPr>
    </w:p>
    <w:p>
      <w:pPr>
        <w:ind w:right="100" w:firstLine="1448"/>
        <w:spacing w:after="0" w:line="276" w:lineRule="auto"/>
        <w:tabs>
          <w:tab w:leader="none" w:pos="1705" w:val="left"/>
        </w:tabs>
        <w:numPr>
          <w:ilvl w:val="2"/>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any other Good Reason definition in the Award Agreement (or in any other agreement incorporated by reference into the Award Agreement), Good Reason shall mean (A) a material diminution by the Company of the Participant’s authority, duties or responsibilities;</w:t>
      </w:r>
    </w:p>
    <w:p>
      <w:pPr>
        <w:ind w:firstLine="8"/>
        <w:spacing w:after="0" w:line="252" w:lineRule="auto"/>
        <w:tabs>
          <w:tab w:leader="none" w:pos="2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at which the Participant must perform (which, for purposes of the Plan, means relocation of the offices of the Company at which the Participant is principally employed to a location that increases the Participant’s commute to work by more than 50 miles); or (C) a material diminution in the Participant’s base salary. The Participant must provide written notice of termination for Good Reason to the Company within 60 days after the event constituting Good Reason. The Company shall have a period of 60 days in which it may correct the act or failure to act that constitutes the grounds for Good Reason as set forth in the Participant’s notice of termination. If the Company does not correct the act or failure to act, the Participant’s employment will terminate for Good Reason on the first business day following the Company’s 60-day cure period.</w:t>
      </w:r>
    </w:p>
    <w:p>
      <w:pPr>
        <w:spacing w:after="0" w:line="185" w:lineRule="exact"/>
        <w:rPr>
          <w:rFonts w:ascii="Times New Roman" w:cs="Times New Roman" w:eastAsia="Times New Roman" w:hAnsi="Times New Roman"/>
          <w:sz w:val="18"/>
          <w:szCs w:val="18"/>
          <w:color w:val="auto"/>
        </w:rPr>
      </w:pPr>
    </w:p>
    <w:p>
      <w:pPr>
        <w:ind w:left="1240" w:hanging="224"/>
        <w:spacing w:after="0"/>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Incentive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option that satisfies the requirements of Code Section 422.</w:t>
      </w:r>
    </w:p>
    <w:p>
      <w:pPr>
        <w:spacing w:after="0" w:line="225" w:lineRule="exact"/>
        <w:rPr>
          <w:rFonts w:ascii="Times New Roman" w:cs="Times New Roman" w:eastAsia="Times New Roman" w:hAnsi="Times New Roman"/>
          <w:sz w:val="18"/>
          <w:szCs w:val="18"/>
          <w:color w:val="auto"/>
        </w:rPr>
      </w:pPr>
    </w:p>
    <w:p>
      <w:pPr>
        <w:ind w:left="1180" w:hanging="164"/>
        <w:spacing w:after="0"/>
        <w:tabs>
          <w:tab w:leader="none" w:pos="118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Involuntary Termination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with respect to each Award made under the Plan, be defined in accordance with the following provisions:</w:t>
      </w:r>
    </w:p>
    <w:p>
      <w:pPr>
        <w:spacing w:after="0" w:line="240" w:lineRule="exact"/>
        <w:rPr>
          <w:rFonts w:ascii="Times New Roman" w:cs="Times New Roman" w:eastAsia="Times New Roman" w:hAnsi="Times New Roman"/>
          <w:sz w:val="17"/>
          <w:szCs w:val="17"/>
          <w:color w:val="auto"/>
        </w:rPr>
      </w:pPr>
    </w:p>
    <w:p>
      <w:pPr>
        <w:ind w:right="500" w:firstLine="1448"/>
        <w:spacing w:after="0" w:line="282" w:lineRule="auto"/>
        <w:tabs>
          <w:tab w:leader="none" w:pos="1655"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Involuntary Termination shall have the meaning assigned to such term in the Award Agreement for the Award or in any other agreement incorporated by reference into the Award Agreement for purposes of defining such term.</w:t>
      </w:r>
    </w:p>
    <w:p>
      <w:pPr>
        <w:spacing w:after="0" w:line="161" w:lineRule="exact"/>
        <w:rPr>
          <w:rFonts w:ascii="Times New Roman" w:cs="Times New Roman" w:eastAsia="Times New Roman" w:hAnsi="Times New Roman"/>
          <w:sz w:val="18"/>
          <w:szCs w:val="18"/>
          <w:color w:val="auto"/>
        </w:rPr>
      </w:pPr>
    </w:p>
    <w:p>
      <w:pPr>
        <w:ind w:right="20" w:firstLine="1448"/>
        <w:spacing w:after="0" w:line="261" w:lineRule="auto"/>
        <w:tabs>
          <w:tab w:leader="none" w:pos="1705"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any other Involuntary Termination definition in the Award Agreement (or in any other agreement incorporated by reference into the Award Agreement), Involuntary Termination shall mean the termination of the Service of any individual that occurs by reason of such individual’s involuntary dismissal or discharge by the Company (or any Parent or Subsidiary) for reasons other than for Cause, or such individual’s voluntary resignation for Good Reason.</w:t>
      </w:r>
    </w:p>
    <w:p>
      <w:pPr>
        <w:spacing w:after="0" w:line="175" w:lineRule="exact"/>
        <w:rPr>
          <w:rFonts w:ascii="Times New Roman" w:cs="Times New Roman" w:eastAsia="Times New Roman" w:hAnsi="Times New Roman"/>
          <w:sz w:val="18"/>
          <w:szCs w:val="18"/>
          <w:color w:val="auto"/>
        </w:rPr>
      </w:pPr>
    </w:p>
    <w:p>
      <w:pPr>
        <w:ind w:left="1240" w:hanging="224"/>
        <w:spacing w:after="0"/>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1934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Securities Exchange Act of 1934, as amended.</w:t>
      </w:r>
    </w:p>
    <w:p>
      <w:pPr>
        <w:spacing w:after="0" w:line="225" w:lineRule="exact"/>
        <w:rPr>
          <w:rFonts w:ascii="Times New Roman" w:cs="Times New Roman" w:eastAsia="Times New Roman" w:hAnsi="Times New Roman"/>
          <w:sz w:val="18"/>
          <w:szCs w:val="18"/>
          <w:color w:val="auto"/>
        </w:rPr>
      </w:pPr>
    </w:p>
    <w:p>
      <w:pPr>
        <w:ind w:left="1220" w:hanging="204"/>
        <w:spacing w:after="0"/>
        <w:tabs>
          <w:tab w:leader="none" w:pos="1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Non-Employee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 non-employee member of the Board.</w:t>
      </w:r>
    </w:p>
    <w:p>
      <w:pPr>
        <w:spacing w:after="0" w:line="225" w:lineRule="exact"/>
        <w:rPr>
          <w:rFonts w:ascii="Times New Roman" w:cs="Times New Roman" w:eastAsia="Times New Roman" w:hAnsi="Times New Roman"/>
          <w:sz w:val="18"/>
          <w:szCs w:val="18"/>
          <w:color w:val="auto"/>
        </w:rPr>
      </w:pPr>
    </w:p>
    <w:p>
      <w:pPr>
        <w:ind w:left="1200" w:hanging="184"/>
        <w:spacing w:after="0"/>
        <w:tabs>
          <w:tab w:leader="none" w:pos="12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Non-Statutory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option that is not an Incentive Option.</w:t>
      </w:r>
    </w:p>
    <w:p>
      <w:pPr>
        <w:spacing w:after="0" w:line="225" w:lineRule="exact"/>
        <w:rPr>
          <w:rFonts w:ascii="Times New Roman" w:cs="Times New Roman" w:eastAsia="Times New Roman" w:hAnsi="Times New Roman"/>
          <w:sz w:val="18"/>
          <w:szCs w:val="18"/>
          <w:color w:val="auto"/>
        </w:rPr>
      </w:pPr>
    </w:p>
    <w:p>
      <w:pPr>
        <w:ind w:right="160" w:firstLine="1016"/>
        <w:spacing w:after="0" w:line="268" w:lineRule="auto"/>
        <w:tabs>
          <w:tab w:leader="none" w:pos="11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corporation (other than the Company) in an unbroken chain of corporations ending with the Company,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corporation in the unbroken chain (other than the Company) owns, at the time of the determination, stock possessing fifty percent (50%) or more of the total combined voting power of all classes of stock in one of the other corporations in such chain.</w:t>
      </w:r>
    </w:p>
    <w:p>
      <w:pPr>
        <w:spacing w:after="0" w:line="170" w:lineRule="exact"/>
        <w:rPr>
          <w:rFonts w:ascii="Times New Roman" w:cs="Times New Roman" w:eastAsia="Times New Roman" w:hAnsi="Times New Roman"/>
          <w:sz w:val="18"/>
          <w:szCs w:val="18"/>
          <w:color w:val="auto"/>
        </w:rPr>
      </w:pPr>
    </w:p>
    <w:p>
      <w:pPr>
        <w:ind w:left="1240" w:hanging="224"/>
        <w:spacing w:after="0"/>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person who is granted an Award under the Plan.</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8" w:name="page19"/>
    <w:bookmarkEnd w:id="18"/>
    <w:p>
      <w:pPr>
        <w:ind w:firstLine="1008"/>
        <w:spacing w:after="0" w:line="25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b w:val="1"/>
          <w:bCs w:val="1"/>
          <w:u w:val="single" w:color="auto"/>
          <w:color w:val="auto"/>
        </w:rPr>
        <w:t>Performance Goals</w:t>
      </w:r>
      <w:r>
        <w:rPr>
          <w:rFonts w:ascii="Times New Roman" w:cs="Times New Roman" w:eastAsia="Times New Roman" w:hAnsi="Times New Roman"/>
          <w:sz w:val="18"/>
          <w:szCs w:val="18"/>
          <w:color w:val="auto"/>
        </w:rPr>
        <w:t xml:space="preserve"> shall mean any objective or subjective goals the Plan Administrator establishes with respect to an Award. Performance Goals may include, but are not limited to, the following performance criteria upon which the vesting of one or more Awards under the Plan may be based: (i) cash flow, any derivative of operating cash flow, cash flow sufficient to achieve financial ratios or a specified cash balance, free cash flow, cash flow return on capital, net cash provided by operating activities, and cash flow per share; (ii) earnings (including earnings before interest and taxes, earnings before taxes, earnings before interest, taxes, depreciation, amortization and charges for stock-based compensation, earnings before interest, taxes, depreciation and amortization, and net earnings); (iii) earnings per share; (iv) growth in earnings or earnings per share; (v) stock price, net asset value, dividend, dividend payout ratio; (vi) return on equity or average stockholder equity; (vii) total stockholder return or growth in total stockholder return either directly or in relation to a comparative group; (viii) return on capital or improvement in or attainment of working capital levels; (ix) return on assets or net assets or growth in assets; (x) invested capital, required rate of return on capital, return on invested capital, relative risk-adjusted investment performance and investment performance of capital; (xi) revenue, growth in revenue or return on sales; (xii) income or net income; (xiii) operating income, net operating income, or net operating income after tax; (xiv) operating profit or net operating profit; (xv) operating margin or gross margin; (xvi) return on operating revenue or return on operating profit; (xvii) collections and recoveries; (xviii) product research and development, implementation or completion of an identified special project, clinical trials, regulatory filings or approvals or other milestones, patent application or issuance, and manufacturing or process development; (xix) application approvals; (xx) litigation regulatory resolution, legal compliance, or safety and risk reduction goals; (xxi) any derivative of debt leverage (including debt to capital, net debt-to-capital, debt-to-EBITDA or other liquidity ratios); (xxii) balance of cash, cash equivalents and marketable securities; (xxiii) overhead, savings, G&amp;A and other expense control goals; (xxiv) budget comparisons and management; (xxv) growth in stockholder value relative to the growth of the S&amp;P 400 or S&amp;P 400 Index, the S&amp;P Global Industry Classification Standards (“GICS”) or GICS Index, or another peer group or peer group index; (xxvi) credit rating, debt, fixed charge coverage, interest coverage; (xxvii) development and implementation of strategic plans and/or organizational restructuring goals; (xxviii) development and implementation of risk and crisis management programs, including business continuity plans; (xxix) improvement in workforce diversity, equity and inclusion; (xxx) market share, market penetration, and economic value added; (xxxi) inventory control; (xxxii) compliance requirements and compliance relief; (xxxiii) health and safety goals; (xxxiv) productivity goals or backlog; (xxxv) workforce management, key hires, and succession planning goals; (xxxvi) economic value added (including typical adjustments consistently applied from generally accepted accounting principles required to determine economic value added performance measures); (xxxvii) measures of customer satisfaction, employee satisfaction or staff development; (xxxviii) stakeholder engagement; (xxxix ) environmental and climate-change-related goals; (xl) development or marketing collaborations, formations of joint ventures or partnerships or the completion of other similar transactions intended to enhance the Company’s revenue or profitability or enhance its customer base; (xli) business expansion, mergers, acquisitions, divestitures, joint ventures; (xlii) capital or fund raising to support operations, government grants, license arrangements; (xliv) acquisition of new customers, including institutional accounts or customer retention and/or repeat order rate; (xlv) progress of partnered programs; (lvi) partner satisfaction; (lvii) milestones related to samples received and/or tests run; (lviii) expansion of sales in additional geographies or markets; (liv) patient samples processed and billed; (lv) sample processing operating metrics (including, without limitation, failure rate maximums and reduction of repeat rates); or (xliii) such other performance criteria as the Plan Administrator may specify. In addition, such performance criteria may be based upon the attainment of specified levels of the Company’s performance under one or more of the measures described above relative to the performance of other entities and may also be based on the performance of any of the Company’s business units or divisions or any Parent or Subsidiary. Each applicable Performance Goal may include a minimum threshold level of performance below which no Award will be earned, levels of performance at which specified portions of an Award will be earned and a maximum level of performance at which an Award will be fully earned. Each applicable performance goal may be structured at the time of the Award to provide for appropriate adjustment for one or more of the following items: (A) asset impairments or write-downs; (B) litigation judgments or claim settlements; (C) the effect of changes in tax law, accounting principles or other such laws or provisions affecting reported results; (D) accruals for reorganization and restructuring programs; (E) any extraordinary nonrecurring items; (F) the operations of any business acquired by the Company; (G) the divestiture of one or more business operations or the assets thereof; (H) the effects of any corporate transaction, such as a merger, consolidation, separation (including spin-off or other distributions of stock or property by the Company) or reorganization (whether or not such reorganization is within the definition of that term in Code Section 368); and (I) any other adjustment consistent with the operation of the Plan.</w:t>
      </w:r>
    </w:p>
    <w:p>
      <w:pPr>
        <w:spacing w:after="0" w:line="1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xml:space="preserve"> shall mean the Company’s 2022 Equity Omnibus Plan, as set forth in this document, as may be amended from time to time.</w:t>
      </w:r>
    </w:p>
    <w:p>
      <w:pPr>
        <w:spacing w:after="0" w:line="225" w:lineRule="exact"/>
        <w:rPr>
          <w:sz w:val="20"/>
          <w:szCs w:val="20"/>
          <w:color w:val="auto"/>
        </w:rPr>
      </w:pPr>
    </w:p>
    <w:p>
      <w:pPr>
        <w:ind w:right="100" w:firstLine="1008"/>
        <w:spacing w:after="0" w:line="262"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b w:val="1"/>
          <w:bCs w:val="1"/>
          <w:u w:val="single" w:color="auto"/>
          <w:color w:val="auto"/>
        </w:rPr>
        <w:t>Plan Administrator</w:t>
      </w:r>
      <w:r>
        <w:rPr>
          <w:rFonts w:ascii="Times New Roman" w:cs="Times New Roman" w:eastAsia="Times New Roman" w:hAnsi="Times New Roman"/>
          <w:sz w:val="18"/>
          <w:szCs w:val="18"/>
          <w:color w:val="auto"/>
        </w:rPr>
        <w:t xml:space="preserve"> shall mean the particular entity, whether the Compensation Committee (or subcommittee thereof), the Board, the Secondary Board Committee or any delegate of the Board or the Compensation Committee authorized to administer the Plan with respect to one or more classes of eligible persons, to the extent such entity or delegate is carrying out its administrative functions under the Plan with respect to the persons under its jurisdiction.</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b w:val="1"/>
          <w:bCs w:val="1"/>
          <w:u w:val="single" w:color="auto"/>
          <w:color w:val="auto"/>
        </w:rPr>
        <w:t>Plan Effective Date</w:t>
      </w:r>
      <w:r>
        <w:rPr>
          <w:rFonts w:ascii="Times New Roman" w:cs="Times New Roman" w:eastAsia="Times New Roman" w:hAnsi="Times New Roman"/>
          <w:sz w:val="18"/>
          <w:szCs w:val="18"/>
          <w:color w:val="auto"/>
        </w:rPr>
        <w:t xml:space="preserve"> shall have the meaning set forth in Section XIV.F.</w:t>
      </w:r>
    </w:p>
    <w:p>
      <w:pPr>
        <w:spacing w:after="0" w:line="225" w:lineRule="exact"/>
        <w:rPr>
          <w:sz w:val="20"/>
          <w:szCs w:val="20"/>
          <w:color w:val="auto"/>
        </w:rPr>
      </w:pPr>
    </w:p>
    <w:p>
      <w:pPr>
        <w:ind w:right="240" w:firstLine="1016"/>
        <w:spacing w:after="0" w:line="286" w:lineRule="auto"/>
        <w:tabs>
          <w:tab w:leader="none" w:pos="13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Secondary Board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 committee of one or more Board members appointed by the Board to administer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eligible persons other than Section 16 Insiders.</w:t>
      </w:r>
    </w:p>
    <w:p>
      <w:pPr>
        <w:spacing w:after="0" w:line="154" w:lineRule="exact"/>
        <w:rPr>
          <w:rFonts w:ascii="Times New Roman" w:cs="Times New Roman" w:eastAsia="Times New Roman" w:hAnsi="Times New Roman"/>
          <w:sz w:val="18"/>
          <w:szCs w:val="18"/>
          <w:color w:val="auto"/>
        </w:rPr>
      </w:pPr>
    </w:p>
    <w:p>
      <w:pPr>
        <w:ind w:left="1340" w:hanging="324"/>
        <w:spacing w:after="0"/>
        <w:tabs>
          <w:tab w:leader="none" w:pos="1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16 Insider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 officer or director of the Company subject to the short-swing profit liabilities of Section 16 of the 1934</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9" w:name="page20"/>
    <w:bookmarkEnd w:id="19"/>
    <w:p>
      <w:pPr>
        <w:ind w:left="1332" w:hanging="324"/>
        <w:spacing w:after="0"/>
        <w:tabs>
          <w:tab w:leader="none" w:pos="133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with respect to each Award made under the Plan, be defined in accordance with the following provisions:</w:t>
      </w:r>
    </w:p>
    <w:p>
      <w:pPr>
        <w:spacing w:after="0" w:line="229" w:lineRule="exact"/>
        <w:rPr>
          <w:rFonts w:ascii="Times New Roman" w:cs="Times New Roman" w:eastAsia="Times New Roman" w:hAnsi="Times New Roman"/>
          <w:sz w:val="18"/>
          <w:szCs w:val="18"/>
          <w:color w:val="auto"/>
        </w:rPr>
      </w:pPr>
    </w:p>
    <w:p>
      <w:pPr>
        <w:ind w:left="-8" w:firstLine="1448"/>
        <w:spacing w:after="0" w:line="282" w:lineRule="auto"/>
        <w:tabs>
          <w:tab w:leader="none" w:pos="1647"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shall have the meaning assigned to such term in the Award Agreement for the Award or in any other agreement incorporated by reference into the Award Agreement for purposes of defining such term.</w:t>
      </w:r>
    </w:p>
    <w:p>
      <w:pPr>
        <w:spacing w:after="0" w:line="161" w:lineRule="exact"/>
        <w:rPr>
          <w:rFonts w:ascii="Times New Roman" w:cs="Times New Roman" w:eastAsia="Times New Roman" w:hAnsi="Times New Roman"/>
          <w:sz w:val="18"/>
          <w:szCs w:val="18"/>
          <w:color w:val="auto"/>
        </w:rPr>
      </w:pPr>
    </w:p>
    <w:p>
      <w:pPr>
        <w:ind w:left="-8" w:right="120" w:firstLine="1448"/>
        <w:spacing w:after="0" w:line="276" w:lineRule="auto"/>
        <w:tabs>
          <w:tab w:leader="none" w:pos="1697"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any other Good Reason definition in the Award Agreement (or in any other agreement incorporated by reference into the Award Agreement), Good Reason shall mean (A) a material diminution by the Company of the Participant’s authority, duties or responsibilities;</w:t>
      </w:r>
    </w:p>
    <w:p>
      <w:pPr>
        <w:ind w:left="-8" w:right="20" w:firstLine="8"/>
        <w:spacing w:after="0" w:line="252" w:lineRule="auto"/>
        <w:tabs>
          <w:tab w:leader="none" w:pos="2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at which the Participant must perform (which, for purposes of the Plan, means relocation of the offices of the Company at which the Participant is principally employed to a location that increases the Participant’s commute to work by more than 50 miles); or (C) a material diminution in the Participant’s base salary. The Participant must provide written notice of termination for Good Reason to the Company within 60 days after the event constituting Good Reason. The Company shall have a period of 60 days in which it may correct the act or failure to act that constitutes the grounds for Good Reason as set forth in the Participant’s notice of termination. If the Company does not correct the act or failure to act, the Participant’s employment will terminate for Good Reason on the first business day following the Company’s 60-day cure period.</w:t>
      </w:r>
    </w:p>
    <w:p>
      <w:pPr>
        <w:spacing w:after="0" w:line="189" w:lineRule="exact"/>
        <w:rPr>
          <w:rFonts w:ascii="Times New Roman" w:cs="Times New Roman" w:eastAsia="Times New Roman" w:hAnsi="Times New Roman"/>
          <w:sz w:val="18"/>
          <w:szCs w:val="18"/>
          <w:color w:val="auto"/>
        </w:rPr>
      </w:pPr>
    </w:p>
    <w:p>
      <w:pPr>
        <w:ind w:left="-8" w:right="60" w:firstLine="1448"/>
        <w:spacing w:after="0" w:line="256" w:lineRule="auto"/>
        <w:tabs>
          <w:tab w:leader="none" w:pos="1747"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shall not be deemed to cease during a period of military leave, sick leave or other personal leave approved by the Company, provided, however, that should such leave of absence exceed three (3) months, then for purposes of determining the period within which an Incentive Option may be exercised as such under the federal tax laws, the Participant’s Service shall be deemed to cease on the first day immediately following the expiration of such three (3)-month period, unless the Participant is provided with the right to return to Service following such leave either by statute or by written contract. Except to the extent otherwise required by law or expressly authorized by the Plan Administrator or by the Company’s written policy on leaves of absence, no Service credit shall be given for vesting purposes for any period the Participant is on a leave of absence.</w:t>
      </w:r>
    </w:p>
    <w:p>
      <w:pPr>
        <w:spacing w:after="0" w:line="183" w:lineRule="exact"/>
        <w:rPr>
          <w:rFonts w:ascii="Times New Roman" w:cs="Times New Roman" w:eastAsia="Times New Roman" w:hAnsi="Times New Roman"/>
          <w:sz w:val="18"/>
          <w:szCs w:val="18"/>
          <w:color w:val="auto"/>
        </w:rPr>
      </w:pPr>
    </w:p>
    <w:p>
      <w:pPr>
        <w:ind w:left="1352" w:hanging="344"/>
        <w:spacing w:after="0"/>
        <w:tabs>
          <w:tab w:leader="none" w:pos="13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Stand-alone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VII.B.</w:t>
      </w:r>
    </w:p>
    <w:p>
      <w:pPr>
        <w:spacing w:after="0" w:line="225" w:lineRule="exact"/>
        <w:rPr>
          <w:rFonts w:ascii="Times New Roman" w:cs="Times New Roman" w:eastAsia="Times New Roman" w:hAnsi="Times New Roman"/>
          <w:sz w:val="18"/>
          <w:szCs w:val="18"/>
          <w:color w:val="auto"/>
        </w:rPr>
      </w:pPr>
    </w:p>
    <w:p>
      <w:pPr>
        <w:ind w:left="-8" w:right="60" w:firstLine="1016"/>
        <w:spacing w:after="0" w:line="286" w:lineRule="auto"/>
        <w:tabs>
          <w:tab w:leader="none" w:pos="13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American Stock Exchange, The Nasdaq Capital Market, The Nasdaq Global, The Nasdaq Global Select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or the New York Stock Exchange.</w:t>
      </w:r>
    </w:p>
    <w:p>
      <w:pPr>
        <w:spacing w:after="0" w:line="154" w:lineRule="exact"/>
        <w:rPr>
          <w:rFonts w:ascii="Times New Roman" w:cs="Times New Roman" w:eastAsia="Times New Roman" w:hAnsi="Times New Roman"/>
          <w:sz w:val="18"/>
          <w:szCs w:val="18"/>
          <w:color w:val="auto"/>
        </w:rPr>
      </w:pPr>
    </w:p>
    <w:p>
      <w:pPr>
        <w:ind w:left="-8" w:right="320" w:firstLine="1016"/>
        <w:spacing w:after="0" w:line="262" w:lineRule="auto"/>
        <w:tabs>
          <w:tab w:leader="none" w:pos="127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any corporation (other than the Company) in an unbroken chain of corporations beginning with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each corporation (other than the last corporation) in the unbroken chain owns, at the time of the determination, stock possessing fifty percent (50%) or more of the total combined voting power of all classes of stock in one of the other corporations in such chain. The term Subsidiary shall also include any wholly-owned limited liability company in such chain of subsidiaries.</w:t>
      </w:r>
    </w:p>
    <w:p>
      <w:pPr>
        <w:spacing w:after="0" w:line="176" w:lineRule="exact"/>
        <w:rPr>
          <w:rFonts w:ascii="Times New Roman" w:cs="Times New Roman" w:eastAsia="Times New Roman" w:hAnsi="Times New Roman"/>
          <w:sz w:val="18"/>
          <w:szCs w:val="18"/>
          <w:color w:val="auto"/>
        </w:rPr>
      </w:pPr>
    </w:p>
    <w:p>
      <w:pPr>
        <w:ind w:left="1352" w:hanging="344"/>
        <w:spacing w:after="0"/>
        <w:tabs>
          <w:tab w:leader="none" w:pos="13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Substitute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V.E.</w:t>
      </w:r>
    </w:p>
    <w:p>
      <w:pPr>
        <w:spacing w:after="0" w:line="225" w:lineRule="exact"/>
        <w:rPr>
          <w:rFonts w:ascii="Times New Roman" w:cs="Times New Roman" w:eastAsia="Times New Roman" w:hAnsi="Times New Roman"/>
          <w:sz w:val="18"/>
          <w:szCs w:val="18"/>
          <w:color w:val="auto"/>
        </w:rPr>
      </w:pPr>
    </w:p>
    <w:p>
      <w:pPr>
        <w:ind w:left="1352" w:hanging="344"/>
        <w:spacing w:after="0"/>
        <w:tabs>
          <w:tab w:leader="none" w:pos="135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Tandem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Section VII.B.</w:t>
      </w:r>
    </w:p>
    <w:p>
      <w:pPr>
        <w:spacing w:after="0" w:line="225" w:lineRule="exact"/>
        <w:rPr>
          <w:rFonts w:ascii="Times New Roman" w:cs="Times New Roman" w:eastAsia="Times New Roman" w:hAnsi="Times New Roman"/>
          <w:sz w:val="18"/>
          <w:szCs w:val="18"/>
          <w:color w:val="auto"/>
        </w:rPr>
      </w:pPr>
    </w:p>
    <w:p>
      <w:pPr>
        <w:ind w:left="-8" w:right="180" w:firstLine="1016"/>
        <w:spacing w:after="0" w:line="286" w:lineRule="auto"/>
        <w:tabs>
          <w:tab w:leader="none" w:pos="121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10%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owner of stock (as determined under Code Section 424(d)) possessing more than ten percent (10%)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total combined voting power of all classes of stock of the Company (or any Parent or Subsidiary).</w:t>
      </w:r>
    </w:p>
    <w:p>
      <w:pPr>
        <w:spacing w:after="0" w:line="154" w:lineRule="exact"/>
        <w:rPr>
          <w:rFonts w:ascii="Times New Roman" w:cs="Times New Roman" w:eastAsia="Times New Roman" w:hAnsi="Times New Roman"/>
          <w:sz w:val="18"/>
          <w:szCs w:val="18"/>
          <w:color w:val="auto"/>
        </w:rPr>
      </w:pPr>
    </w:p>
    <w:p>
      <w:pPr>
        <w:ind w:left="-8" w:right="140" w:firstLine="1016"/>
        <w:spacing w:after="0" w:line="268" w:lineRule="auto"/>
        <w:tabs>
          <w:tab w:leader="none" w:pos="123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applicable federal, state, and local income and employment withholding taxes to which the holder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Award under the Plan may become subject in connection with the issuance, exercise, vesting or settlement of that Award or the issuance of shares of Common Stock thereunder.</w:t>
      </w:r>
    </w:p>
    <w:p>
      <w:pPr>
        <w:spacing w:after="0" w:line="39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17</w:t>
      </w:r>
    </w:p>
    <w:sectPr>
      <w:pgSz w:w="11900" w:h="16838" w:orient="portrait"/>
      <w:cols w:equalWidth="0" w:num="1">
        <w:col w:w="11192"/>
      </w:cols>
      <w:pgMar w:left="328" w:top="57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I"/>
      <w:numFmt w:val="bullet"/>
      <w:start w:val="1"/>
    </w:lvl>
  </w:abstractNum>
  <w:abstractNum w:abstractNumId="2">
    <w:nsid w:val="431BD7B7"/>
    <w:multiLevelType w:val="hybridMultilevel"/>
    <w:lvl w:ilvl="0">
      <w:lvlJc w:val="left"/>
      <w:lvlText w:val="%1"/>
      <w:numFmt w:val="lowerRoman"/>
      <w:start w:val="1"/>
    </w:lvl>
    <w:lvl w:ilvl="1">
      <w:lvlJc w:val="left"/>
      <w:lvlText w:val="%2"/>
      <w:numFmt w:val="upperLetter"/>
      <w:start w:val="61"/>
    </w:lvl>
    <w:lvl w:ilvl="2">
      <w:lvlJc w:val="left"/>
      <w:lvlText w:val="%3."/>
      <w:numFmt w:val="upperLetter"/>
      <w:start w:val="1"/>
    </w:lvl>
  </w:abstractNum>
  <w:abstractNum w:abstractNumId="3">
    <w:nsid w:val="3F2DBA31"/>
    <w:multiLevelType w:val="hybridMultilevel"/>
    <w:lvl w:ilvl="0">
      <w:lvlJc w:val="left"/>
      <w:lvlText w:val="(%1)"/>
      <w:numFmt w:val="lowerRoman"/>
      <w:start w:val="10"/>
    </w:lvl>
    <w:lvl w:ilvl="1">
      <w:lvlJc w:val="left"/>
      <w:lvlText w:val="%2"/>
      <w:numFmt w:val="upperLetter"/>
      <w:start w:val="1"/>
    </w:lvl>
    <w:lvl w:ilvl="2">
      <w:lvlJc w:val="left"/>
      <w:lvlText w:val="%3."/>
      <w:numFmt w:val="upperLetter"/>
      <w:start w:val="4"/>
    </w:lvl>
  </w:abstractNum>
  <w:abstractNum w:abstractNumId="4">
    <w:nsid w:val="7C83E458"/>
    <w:multiLevelType w:val="hybridMultilevel"/>
    <w:lvl w:ilvl="0">
      <w:lvlJc w:val="left"/>
      <w:lvlText w:val="(%1)"/>
      <w:numFmt w:val="lowerRoman"/>
      <w:start w:val="1"/>
    </w:lvl>
  </w:abstractNum>
  <w:abstractNum w:abstractNumId="5">
    <w:nsid w:val="257130A3"/>
    <w:multiLevelType w:val="hybridMultilevel"/>
    <w:lvl w:ilvl="0">
      <w:lvlJc w:val="left"/>
      <w:lvlText w:val="V"/>
      <w:numFmt w:val="bullet"/>
      <w:start w:val="1"/>
    </w:lvl>
    <w:lvl w:ilvl="1">
      <w:lvlJc w:val="left"/>
      <w:lvlText w:val="%2"/>
      <w:numFmt w:val="upperLetter"/>
      <w:start w:val="1"/>
    </w:lvl>
    <w:lvl w:ilvl="2">
      <w:lvlJc w:val="left"/>
      <w:lvlText w:val="%3."/>
      <w:numFmt w:val="upperLetter"/>
      <w:start w:val="1"/>
    </w:lvl>
  </w:abstractNum>
  <w:abstractNum w:abstractNumId="6">
    <w:nsid w:val="62BBD95A"/>
    <w:multiLevelType w:val="hybridMultilevel"/>
    <w:lvl w:ilvl="0">
      <w:lvlJc w:val="left"/>
      <w:lvlText w:val="V"/>
      <w:numFmt w:val="bullet"/>
      <w:start w:val="1"/>
    </w:lvl>
    <w:lvl w:ilvl="1">
      <w:lvlJc w:val="left"/>
      <w:lvlText w:val="%2."/>
      <w:numFmt w:val="upperLetter"/>
      <w:start w:val="4"/>
    </w:lvl>
    <w:lvl w:ilvl="2">
      <w:lvlJc w:val="left"/>
      <w:lvlText w:val="%3"/>
      <w:numFmt w:val="upperLetter"/>
      <w:start w:val="1"/>
    </w:lvl>
  </w:abstractNum>
  <w:abstractNum w:abstractNumId="7">
    <w:nsid w:val="436C6125"/>
    <w:multiLevelType w:val="hybridMultilevel"/>
    <w:lvl w:ilvl="0">
      <w:lvlJc w:val="left"/>
      <w:lvlText w:val="(%1)"/>
      <w:numFmt w:val="lowerRoman"/>
      <w:start w:val="1"/>
    </w:lvl>
    <w:lvl w:ilvl="1">
      <w:lvlJc w:val="left"/>
      <w:lvlText w:val="(%2)"/>
      <w:numFmt w:val="lowerLetter"/>
      <w:start w:val="1"/>
    </w:lvl>
  </w:abstractNum>
  <w:abstractNum w:abstractNumId="8">
    <w:nsid w:val="628C895D"/>
    <w:multiLevelType w:val="hybridMultilevel"/>
    <w:lvl w:ilvl="0">
      <w:lvlJc w:val="left"/>
      <w:lvlText w:val="%1"/>
      <w:numFmt w:val="upperLetter"/>
      <w:start w:val="1"/>
    </w:lvl>
    <w:lvl w:ilvl="1">
      <w:lvlJc w:val="left"/>
      <w:lvlText w:val="(%2)"/>
      <w:numFmt w:val="lowerRoman"/>
      <w:start w:val="3"/>
    </w:lvl>
  </w:abstractNum>
  <w:abstractNum w:abstractNumId="9">
    <w:nsid w:val="333AB105"/>
    <w:multiLevelType w:val="hybridMultilevel"/>
    <w:lvl w:ilvl="0">
      <w:lvlJc w:val="left"/>
      <w:lvlText w:val="%1."/>
      <w:numFmt w:val="upperLetter"/>
      <w:start w:val="3"/>
    </w:lvl>
    <w:lvl w:ilvl="1">
      <w:lvlJc w:val="left"/>
      <w:lvlText w:val="%2"/>
      <w:numFmt w:val="lowerRoman"/>
      <w:start w:val="1"/>
    </w:lvl>
  </w:abstractNum>
  <w:abstractNum w:abstractNumId="10">
    <w:nsid w:val="721DA317"/>
    <w:multiLevelType w:val="hybridMultilevel"/>
    <w:lvl w:ilvl="0">
      <w:lvlJc w:val="left"/>
      <w:lvlText w:val="%1"/>
      <w:numFmt w:val="lowerLetter"/>
      <w:start w:val="1"/>
    </w:lvl>
    <w:lvl w:ilvl="1">
      <w:lvlJc w:val="left"/>
      <w:lvlText w:val="(%2)"/>
      <w:numFmt w:val="lowerLetter"/>
      <w:start w:val="1"/>
    </w:lvl>
  </w:abstractNum>
  <w:abstractNum w:abstractNumId="11">
    <w:nsid w:val="2443A858"/>
    <w:multiLevelType w:val="hybridMultilevel"/>
    <w:lvl w:ilvl="0">
      <w:lvlJc w:val="left"/>
      <w:lvlText w:val="(%1)"/>
      <w:numFmt w:val="lowerLetter"/>
      <w:start w:val="35"/>
    </w:lvl>
    <w:lvl w:ilvl="1">
      <w:lvlJc w:val="left"/>
      <w:lvlText w:val="(%2)"/>
      <w:numFmt w:val="lowerLetter"/>
      <w:start w:val="1"/>
    </w:lvl>
  </w:abstractNum>
  <w:abstractNum w:abstractNumId="12">
    <w:nsid w:val="2D1D5AE9"/>
    <w:multiLevelType w:val="hybridMultilevel"/>
    <w:lvl w:ilvl="0">
      <w:lvlJc w:val="left"/>
      <w:lvlText w:val="(%1)"/>
      <w:numFmt w:val="lowerRoman"/>
      <w:start w:val="1"/>
    </w:lvl>
  </w:abstractNum>
  <w:abstractNum w:abstractNumId="13">
    <w:nsid w:val="6763845E"/>
    <w:multiLevelType w:val="hybridMultilevel"/>
    <w:lvl w:ilvl="0">
      <w:lvlJc w:val="left"/>
      <w:lvlText w:val="(%1)"/>
      <w:numFmt w:val="lowerRoman"/>
      <w:start w:val="3"/>
    </w:lvl>
  </w:abstractNum>
  <w:abstractNum w:abstractNumId="14">
    <w:nsid w:val="75A2A8D4"/>
    <w:multiLevelType w:val="hybridMultilevel"/>
    <w:lvl w:ilvl="0">
      <w:lvlJc w:val="left"/>
      <w:lvlText w:val="%1"/>
      <w:numFmt w:val="upperLetter"/>
      <w:start w:val="1"/>
    </w:lvl>
    <w:lvl w:ilvl="1">
      <w:lvlJc w:val="left"/>
      <w:lvlText w:val="(%2)"/>
      <w:numFmt w:val="lowerRoman"/>
      <w:start w:val="1"/>
    </w:lvl>
  </w:abstractNum>
  <w:abstractNum w:abstractNumId="15">
    <w:nsid w:val="8EDBDAB"/>
    <w:multiLevelType w:val="hybridMultilevel"/>
    <w:lvl w:ilvl="0">
      <w:lvlJc w:val="left"/>
      <w:lvlText w:val="%1."/>
      <w:numFmt w:val="upperLetter"/>
      <w:start w:val="4"/>
    </w:lvl>
    <w:lvl w:ilvl="1">
      <w:lvlJc w:val="left"/>
      <w:lvlText w:val="(%2)"/>
      <w:numFmt w:val="lowerRoman"/>
      <w:start w:val="1"/>
    </w:lvl>
  </w:abstractNum>
  <w:abstractNum w:abstractNumId="16">
    <w:nsid w:val="79838CB2"/>
    <w:multiLevelType w:val="hybridMultilevel"/>
    <w:lvl w:ilvl="0">
      <w:lvlJc w:val="left"/>
      <w:lvlText w:val="%1"/>
      <w:numFmt w:val="upperLetter"/>
      <w:start w:val="1"/>
    </w:lvl>
    <w:lvl w:ilvl="1">
      <w:lvlJc w:val="left"/>
      <w:lvlText w:val="(%2)"/>
      <w:numFmt w:val="lowerRoman"/>
      <w:start w:val="1"/>
    </w:lvl>
  </w:abstractNum>
  <w:abstractNum w:abstractNumId="17">
    <w:nsid w:val="4353D0CD"/>
    <w:multiLevelType w:val="hybridMultilevel"/>
    <w:lvl w:ilvl="0">
      <w:lvlJc w:val="left"/>
      <w:lvlText w:val="%1."/>
      <w:numFmt w:val="upperLetter"/>
      <w:start w:val="3"/>
    </w:lvl>
    <w:lvl w:ilvl="1">
      <w:lvlJc w:val="left"/>
      <w:lvlText w:val="(%2)"/>
      <w:numFmt w:val="lowerRoman"/>
      <w:start w:val="1"/>
    </w:lvl>
  </w:abstractNum>
  <w:abstractNum w:abstractNumId="18">
    <w:nsid w:val="B03E0C6"/>
    <w:multiLevelType w:val="hybridMultilevel"/>
    <w:lvl w:ilvl="0">
      <w:lvlJc w:val="left"/>
      <w:lvlText w:val="(%1)"/>
      <w:numFmt w:val="lowerRoman"/>
      <w:start w:val="1"/>
    </w:lvl>
  </w:abstractNum>
  <w:abstractNum w:abstractNumId="19">
    <w:nsid w:val="189A769B"/>
    <w:multiLevelType w:val="hybridMultilevel"/>
    <w:lvl w:ilvl="0">
      <w:lvlJc w:val="left"/>
      <w:lvlText w:val="X"/>
      <w:numFmt w:val="bullet"/>
      <w:start w:val="1"/>
    </w:lvl>
    <w:lvl w:ilvl="1">
      <w:lvlJc w:val="left"/>
      <w:lvlText w:val="%2."/>
      <w:numFmt w:val="upperLetter"/>
      <w:start w:val="1"/>
    </w:lvl>
  </w:abstractNum>
  <w:abstractNum w:abstractNumId="20">
    <w:nsid w:val="54E49EB4"/>
    <w:multiLevelType w:val="hybridMultilevel"/>
    <w:lvl w:ilvl="0">
      <w:lvlJc w:val="left"/>
      <w:lvlText w:val="(%1)"/>
      <w:numFmt w:val="lowerRoman"/>
      <w:start w:val="1"/>
    </w:lvl>
  </w:abstractNum>
  <w:abstractNum w:abstractNumId="21">
    <w:nsid w:val="71F32454"/>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22">
    <w:nsid w:val="2CA88611"/>
    <w:multiLevelType w:val="hybridMultilevel"/>
    <w:lvl w:ilvl="0">
      <w:lvlJc w:val="left"/>
      <w:lvlText w:val="%1."/>
      <w:numFmt w:val="upperLetter"/>
      <w:start w:val="3"/>
    </w:lvl>
    <w:lvl w:ilvl="1">
      <w:lvlJc w:val="left"/>
      <w:lvlText w:val="%2"/>
      <w:numFmt w:val="lowerRoman"/>
      <w:start w:val="1"/>
    </w:lvl>
    <w:lvl w:ilvl="2">
      <w:lvlJc w:val="left"/>
      <w:lvlText w:val="(%3)"/>
      <w:numFmt w:val="lowerRoman"/>
      <w:start w:val="1"/>
    </w:lvl>
  </w:abstractNum>
  <w:abstractNum w:abstractNumId="23">
    <w:nsid w:val="836C40E"/>
    <w:multiLevelType w:val="hybridMultilevel"/>
    <w:lvl w:ilvl="0">
      <w:lvlJc w:val="left"/>
      <w:lvlText w:val="%1"/>
      <w:numFmt w:val="upperLetter"/>
      <w:start w:val="1"/>
    </w:lvl>
    <w:lvl w:ilvl="1">
      <w:lvlJc w:val="left"/>
      <w:lvlText w:val="(%2)"/>
      <w:numFmt w:val="lowerRoman"/>
      <w:start w:val="1"/>
    </w:lvl>
  </w:abstractNum>
  <w:abstractNum w:abstractNumId="24">
    <w:nsid w:val="2901D82"/>
    <w:multiLevelType w:val="hybridMultilevel"/>
    <w:lvl w:ilvl="0">
      <w:lvlJc w:val="left"/>
      <w:lvlText w:val="%1."/>
      <w:numFmt w:val="upperLetter"/>
      <w:start w:val="8"/>
    </w:lvl>
    <w:lvl w:ilvl="1">
      <w:lvlJc w:val="left"/>
      <w:lvlText w:val="(%2)"/>
      <w:numFmt w:val="lowerRoman"/>
      <w:start w:val="1"/>
    </w:lvl>
  </w:abstractNum>
  <w:abstractNum w:abstractNumId="25">
    <w:nsid w:val="3A95F874"/>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6">
    <w:nsid w:val="8138641"/>
    <w:multiLevelType w:val="hybridMultilevel"/>
    <w:lvl w:ilvl="0">
      <w:lvlJc w:val="left"/>
      <w:lvlText w:val="%1."/>
      <w:numFmt w:val="upperLetter"/>
      <w:start w:val="5"/>
    </w:lvl>
    <w:lvl w:ilvl="1">
      <w:lvlJc w:val="left"/>
      <w:lvlText w:val="(%2)"/>
      <w:numFmt w:val="lowerRoman"/>
      <w:start w:val="1"/>
    </w:lvl>
    <w:lvl w:ilvl="2">
      <w:lvlJc w:val="left"/>
      <w:lvlText w:val="(%3)"/>
      <w:numFmt w:val="lowerLetter"/>
      <w:start w:val="1"/>
    </w:lvl>
  </w:abstractNum>
  <w:abstractNum w:abstractNumId="27">
    <w:nsid w:val="1E7FF521"/>
    <w:multiLevelType w:val="hybridMultilevel"/>
    <w:lvl w:ilvl="0">
      <w:lvlJc w:val="left"/>
      <w:lvlText w:val="(%1)"/>
      <w:numFmt w:val="lowerRoman"/>
      <w:start w:val="1"/>
    </w:lvl>
  </w:abstractNum>
  <w:abstractNum w:abstractNumId="28">
    <w:nsid w:val="7C3DBD3D"/>
    <w:multiLevelType w:val="hybridMultilevel"/>
    <w:lvl w:ilvl="0">
      <w:lvlJc w:val="left"/>
      <w:lvlText w:val="%1"/>
      <w:numFmt w:val="upperLetter"/>
      <w:start w:val="1"/>
    </w:lvl>
    <w:lvl w:ilvl="1">
      <w:lvlJc w:val="left"/>
      <w:lvlText w:val="%2"/>
      <w:numFmt w:val="upperLetter"/>
      <w:start w:val="1"/>
    </w:lvl>
    <w:lvl w:ilvl="2">
      <w:lvlJc w:val="left"/>
      <w:lvlText w:val="(%3)"/>
      <w:numFmt w:val="lowerRoman"/>
      <w:start w:val="1"/>
    </w:lvl>
  </w:abstractNum>
  <w:abstractNum w:abstractNumId="29">
    <w:nsid w:val="737B8DDC"/>
    <w:multiLevelType w:val="hybridMultilevel"/>
    <w:lvl w:ilvl="0">
      <w:lvlJc w:val="left"/>
      <w:lvlText w:val="(%1)"/>
      <w:numFmt w:val="upperLetter"/>
      <w:start w:val="2"/>
    </w:lvl>
    <w:lvl w:ilvl="1">
      <w:lvlJc w:val="left"/>
      <w:lvlText w:val="%2."/>
      <w:numFmt w:val="upperLetter"/>
      <w:start w:val="15"/>
    </w:lvl>
    <w:lvl w:ilvl="2">
      <w:lvlJc w:val="left"/>
      <w:lvlText w:val="(%3)"/>
      <w:numFmt w:val="lowerRoman"/>
      <w:start w:val="1"/>
    </w:lvl>
  </w:abstractNum>
  <w:abstractNum w:abstractNumId="30">
    <w:nsid w:val="6CEAF087"/>
    <w:multiLevelType w:val="hybridMultilevel"/>
    <w:lvl w:ilvl="0">
      <w:lvlJc w:val="left"/>
      <w:lvlText w:val="%1."/>
      <w:numFmt w:val="upperLetter"/>
      <w:start w:val="27"/>
    </w:lvl>
  </w:abstractNum>
  <w:abstractNum w:abstractNumId="31">
    <w:nsid w:val="22221A70"/>
    <w:multiLevelType w:val="hybridMultilevel"/>
    <w:lvl w:ilvl="0">
      <w:lvlJc w:val="left"/>
      <w:lvlText w:val="%1"/>
      <w:numFmt w:val="upperLetter"/>
      <w:start w:val="1"/>
    </w:lvl>
    <w:lvl w:ilvl="1">
      <w:lvlJc w:val="left"/>
      <w:lvlText w:val="%2."/>
      <w:numFmt w:val="upperLetter"/>
      <w:start w:val="29"/>
    </w:lvl>
    <w:lvl w:ilvl="2">
      <w:lvlJc w:val="left"/>
      <w:lvlText w:val="(%3)"/>
      <w:numFmt w:val="lowerRoman"/>
      <w:start w:val="1"/>
    </w:lvl>
  </w:abstractNum>
  <w:abstractNum w:abstractNumId="32">
    <w:nsid w:val="4516DDE9"/>
    <w:multiLevelType w:val="hybridMultilevel"/>
    <w:lvl w:ilvl="0">
      <w:lvlJc w:val="left"/>
      <w:lvlText w:val="(%1)"/>
      <w:numFmt w:val="upperLetter"/>
      <w:start w:val="2"/>
    </w:lvl>
    <w:lvl w:ilvl="1">
      <w:lvlJc w:val="left"/>
      <w:lvlText w:val="%2."/>
      <w:numFmt w:val="upperLetter"/>
      <w:start w:val="29"/>
    </w:lvl>
    <w:lvl w:ilvl="2">
      <w:lvlJc w:val="left"/>
      <w:lvlText w:val="(%3)"/>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2026-06-17T15:14:13Z</dcterms:created>
  <dcterms:modified xsi:type="dcterms:W3CDTF">2026-06-17T15:14:13Z</dcterms:modified>
</cp:coreProperties>
</file>