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icu20260709_s8.htm"/>
      <w:bookmarkStart w:id="1" w:name="ksicu20260709_s8"/>
      <w:bookmarkEnd w:id="0"/>
      <w:bookmarkEnd w:id="1"/>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As filed with the Securities and Exchange Commission on July 21,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880" w:right="0" w:hanging="0"/>
        <w:jc w:val="right"/>
        <w:rPr>
          <w:rFonts w:ascii="Times New Roman" w:hAnsi="Times New Roman"/>
          <w:b/>
          <w:caps w:val="false"/>
          <w:smallCaps w:val="false"/>
          <w:sz w:val="20"/>
        </w:rPr>
      </w:pPr>
      <w:r>
        <w:rPr>
          <w:rFonts w:ascii="Times New Roman" w:hAnsi="Times New Roman"/>
          <w:b/>
          <w:caps w:val="false"/>
          <w:smallCaps w:val="false"/>
          <w:sz w:val="20"/>
        </w:rPr>
        <w:t>Registration No. 333-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8"/>
        </w:rPr>
      </w:pPr>
      <w:r>
        <w:rPr>
          <w:rFonts w:ascii="Times New Roman" w:hAnsi="Times New Roman"/>
          <w:b/>
          <w:caps w:val="false"/>
          <w:smallCaps w:val="false"/>
          <w:sz w:val="28"/>
        </w:rPr>
        <w:t>UNITED STATES</w:t>
      </w:r>
    </w:p>
    <w:p>
      <w:pPr>
        <w:pStyle w:val="TextBody"/>
        <w:bidi w:val="0"/>
        <w:spacing w:before="0" w:after="0"/>
        <w:ind w:left="0" w:right="0" w:hanging="0"/>
        <w:jc w:val="center"/>
        <w:rPr>
          <w:rFonts w:ascii="Times New Roman" w:hAnsi="Times New Roman"/>
          <w:b/>
          <w:caps w:val="false"/>
          <w:smallCaps w:val="false"/>
          <w:sz w:val="28"/>
        </w:rPr>
      </w:pPr>
      <w:r>
        <w:rPr>
          <w:rFonts w:ascii="Times New Roman" w:hAnsi="Times New Roman"/>
          <w:b/>
          <w:caps w:val="false"/>
          <w:smallCaps w:val="false"/>
          <w:sz w:val="28"/>
        </w:rPr>
        <w:t>SECURITIES AND EXCHANGE COMMISSION</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8"/>
        </w:rPr>
      </w:pPr>
      <w:r>
        <w:rPr>
          <w:rFonts w:ascii="Times New Roman" w:hAnsi="Times New Roman"/>
          <w:b/>
          <w:caps w:val="false"/>
          <w:smallCaps w:val="false"/>
          <w:sz w:val="28"/>
        </w:rPr>
        <w:t>FORM S-8</w:t>
      </w:r>
    </w:p>
    <w:p>
      <w:pPr>
        <w:pStyle w:val="TextBody"/>
        <w:bidi w:val="0"/>
        <w:spacing w:before="0" w:after="0"/>
        <w:ind w:left="0" w:right="0" w:hanging="0"/>
        <w:jc w:val="center"/>
        <w:rPr>
          <w:rFonts w:ascii="Times New Roman" w:hAnsi="Times New Roman"/>
          <w:b/>
          <w:caps w:val="false"/>
          <w:smallCaps w:val="false"/>
          <w:sz w:val="28"/>
        </w:rPr>
      </w:pPr>
      <w:r>
        <w:rPr>
          <w:rFonts w:ascii="Times New Roman" w:hAnsi="Times New Roman"/>
          <w:b/>
          <w:caps w:val="false"/>
          <w:smallCaps w:val="false"/>
          <w:sz w:val="28"/>
        </w:rPr>
        <w:t>REGISTRATION STATEMENT</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UNDER THE SECURITIES ACT OF 1933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SeaStar Medical Holding Corporation</w:t>
      </w:r>
    </w:p>
    <w:p>
      <w:pPr>
        <w:pStyle w:val="TextBody"/>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9340" w:type="dxa"/>
        <w:jc w:val="left"/>
        <w:tblInd w:w="0" w:type="dxa"/>
        <w:tblLayout w:type="fixed"/>
        <w:tblCellMar>
          <w:top w:w="0" w:type="dxa"/>
          <w:left w:w="0" w:type="dxa"/>
          <w:bottom w:w="0" w:type="dxa"/>
          <w:right w:w="0" w:type="dxa"/>
        </w:tblCellMar>
      </w:tblPr>
      <w:tblGrid>
        <w:gridCol w:w="7775"/>
        <w:gridCol w:w="1565"/>
      </w:tblGrid>
      <w:tr>
        <w:trPr/>
        <w:tc>
          <w:tcPr>
            <w:tcW w:w="7775" w:type="dxa"/>
            <w:tcBorders/>
            <w:vAlign w:val="center"/>
          </w:tcPr>
          <w:p>
            <w:pPr>
              <w:pStyle w:val="TableContents"/>
              <w:bidi w:val="0"/>
              <w:spacing w:before="0" w:after="0"/>
              <w:ind w:left="0" w:right="0" w:hanging="0"/>
              <w:jc w:val="left"/>
              <w:rPr>
                <w:caps w:val="false"/>
                <w:smallCaps w:val="false"/>
              </w:rPr>
            </w:pPr>
            <w:r>
              <w:rPr>
                <w:caps w:val="false"/>
                <w:smallCaps w:val="false"/>
              </w:rPr>
              <w:t>                 </w:t>
            </w:r>
            <w:r>
              <w:rPr>
                <w:rFonts w:ascii="Times New Roman;Times;serif" w:hAnsi="Times New Roman;Times;serif"/>
                <w:b/>
                <w:caps w:val="false"/>
                <w:smallCaps w:val="false"/>
                <w:sz w:val="20"/>
              </w:rPr>
              <w:t>Delaware</w:t>
            </w:r>
          </w:p>
        </w:tc>
        <w:tc>
          <w:tcPr>
            <w:tcW w:w="1565"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001-39927</w:t>
            </w:r>
          </w:p>
        </w:tc>
      </w:tr>
      <w:tr>
        <w:trPr/>
        <w:tc>
          <w:tcPr>
            <w:tcW w:w="777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(State or other jurisdiction of</w:t>
            </w:r>
          </w:p>
        </w:tc>
        <w:tc>
          <w:tcPr>
            <w:tcW w:w="1565" w:type="dxa"/>
            <w:tcBorders/>
            <w:vAlign w:val="center"/>
          </w:tcPr>
          <w:p>
            <w:pPr>
              <w:pStyle w:val="TableContents"/>
              <w:bidi w:val="0"/>
              <w:spacing w:before="0" w:after="0"/>
              <w:ind w:left="18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(I.R.S. Employer</w:t>
            </w:r>
          </w:p>
        </w:tc>
      </w:tr>
      <w:tr>
        <w:trPr/>
        <w:tc>
          <w:tcPr>
            <w:tcW w:w="777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incorporation or organization)</w:t>
            </w:r>
          </w:p>
        </w:tc>
        <w:tc>
          <w:tcPr>
            <w:tcW w:w="1565" w:type="dxa"/>
            <w:tcBorders/>
            <w:vAlign w:val="center"/>
          </w:tcPr>
          <w:p>
            <w:pPr>
              <w:pStyle w:val="TableContents"/>
              <w:bidi w:val="0"/>
              <w:spacing w:before="0" w:after="0"/>
              <w:ind w:left="18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Identification No.)</w:t>
            </w:r>
          </w:p>
        </w:tc>
      </w:tr>
      <w:tr>
        <w:trPr/>
        <w:tc>
          <w:tcPr>
            <w:tcW w:w="7775"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283"/>
              <w:jc w:val="left"/>
              <w:rPr/>
            </w:pPr>
            <w:r>
              <w:rPr/>
              <w:t> </w:t>
            </w:r>
          </w:p>
        </w:tc>
      </w:tr>
      <w:tr>
        <w:trPr/>
        <w:tc>
          <w:tcPr>
            <w:tcW w:w="777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3513 Brighton Blvd., Suite 410</w:t>
            </w:r>
          </w:p>
        </w:tc>
        <w:tc>
          <w:tcPr>
            <w:tcW w:w="1565"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80216</w:t>
            </w:r>
          </w:p>
        </w:tc>
      </w:tr>
      <w:tr>
        <w:trPr/>
        <w:tc>
          <w:tcPr>
            <w:tcW w:w="7775" w:type="dxa"/>
            <w:tcBorders/>
            <w:vAlign w:val="center"/>
          </w:tcPr>
          <w:p>
            <w:pPr>
              <w:pStyle w:val="TableContents"/>
              <w:bidi w:val="0"/>
              <w:spacing w:before="0" w:after="0"/>
              <w:ind w:left="0" w:right="0" w:hanging="0"/>
              <w:jc w:val="left"/>
              <w:rPr>
                <w:caps w:val="false"/>
                <w:smallCaps w:val="false"/>
              </w:rPr>
            </w:pPr>
            <w:r>
              <w:rPr>
                <w:caps w:val="false"/>
                <w:smallCaps w:val="false"/>
              </w:rPr>
              <w:t>               </w:t>
            </w:r>
            <w:r>
              <w:rPr>
                <w:rFonts w:ascii="Times New Roman;Times;serif" w:hAnsi="Times New Roman;Times;serif"/>
                <w:b/>
                <w:caps w:val="false"/>
                <w:smallCaps w:val="false"/>
                <w:sz w:val="20"/>
              </w:rPr>
              <w:t>Denver, CO</w:t>
            </w:r>
          </w:p>
        </w:tc>
        <w:tc>
          <w:tcPr>
            <w:tcW w:w="156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80216</w:t>
            </w:r>
          </w:p>
        </w:tc>
      </w:tr>
      <w:tr>
        <w:trPr/>
        <w:tc>
          <w:tcPr>
            <w:tcW w:w="777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(Address of Principal Executive Offices)</w:t>
            </w:r>
          </w:p>
        </w:tc>
        <w:tc>
          <w:tcPr>
            <w:tcW w:w="1565" w:type="dxa"/>
            <w:tcBorders/>
            <w:vAlign w:val="center"/>
          </w:tcPr>
          <w:p>
            <w:pPr>
              <w:pStyle w:val="TableContents"/>
              <w:bidi w:val="0"/>
              <w:spacing w:before="0" w:after="0"/>
              <w:ind w:left="18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(Zip Code)</w:t>
            </w:r>
          </w:p>
        </w:tc>
      </w:tr>
      <w:tr>
        <w:trPr/>
        <w:tc>
          <w:tcPr>
            <w:tcW w:w="7775"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283"/>
              <w:jc w:val="left"/>
              <w:rPr/>
            </w:pPr>
            <w:r>
              <w:rPr/>
              <w:t> </w:t>
            </w:r>
          </w:p>
        </w:tc>
      </w:tr>
      <w:tr>
        <w:trPr/>
        <w:tc>
          <w:tcPr>
            <w:tcW w:w="7775"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Amended and Restated SeaStar Medical Holding Corporation 2022 Omnibus Incentive Plan</w:t>
            </w:r>
          </w:p>
        </w:tc>
        <w:tc>
          <w:tcPr>
            <w:tcW w:w="1565" w:type="dxa"/>
            <w:tcBorders/>
            <w:vAlign w:val="center"/>
          </w:tcPr>
          <w:p>
            <w:pPr>
              <w:pStyle w:val="TableContents"/>
              <w:bidi w:val="0"/>
              <w:spacing w:before="0" w:after="283"/>
              <w:jc w:val="left"/>
              <w:rPr/>
            </w:pPr>
            <w:r>
              <w:rPr/>
              <w:t> </w:t>
            </w:r>
          </w:p>
        </w:tc>
      </w:tr>
      <w:tr>
        <w:trPr/>
        <w:tc>
          <w:tcPr>
            <w:tcW w:w="7775"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(Full title of the plan)</w:t>
            </w:r>
          </w:p>
        </w:tc>
        <w:tc>
          <w:tcPr>
            <w:tcW w:w="1565" w:type="dxa"/>
            <w:tcBorders/>
            <w:vAlign w:val="center"/>
          </w:tcPr>
          <w:p>
            <w:pPr>
              <w:pStyle w:val="TableContents"/>
              <w:bidi w:val="0"/>
              <w:spacing w:before="0" w:after="283"/>
              <w:jc w:val="left"/>
              <w:rPr/>
            </w:pPr>
            <w:r>
              <w:rPr/>
              <w:t> </w:t>
            </w:r>
          </w:p>
        </w:tc>
      </w:tr>
      <w:tr>
        <w:trPr/>
        <w:tc>
          <w:tcPr>
            <w:tcW w:w="7775"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Eric Schlorff</w:t>
            </w:r>
          </w:p>
        </w:tc>
        <w:tc>
          <w:tcPr>
            <w:tcW w:w="1565" w:type="dxa"/>
            <w:tcBorders/>
            <w:vAlign w:val="center"/>
          </w:tcPr>
          <w:p>
            <w:pPr>
              <w:pStyle w:val="TableContents"/>
              <w:bidi w:val="0"/>
              <w:spacing w:before="0" w:after="283"/>
              <w:jc w:val="left"/>
              <w:rPr/>
            </w:pPr>
            <w:r>
              <w:rPr/>
              <w:t> </w:t>
            </w:r>
          </w:p>
        </w:tc>
      </w:tr>
      <w:tr>
        <w:trPr/>
        <w:tc>
          <w:tcPr>
            <w:tcW w:w="7775"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Chief Executive Officer</w:t>
            </w:r>
          </w:p>
        </w:tc>
        <w:tc>
          <w:tcPr>
            <w:tcW w:w="1565" w:type="dxa"/>
            <w:tcBorders/>
            <w:vAlign w:val="center"/>
          </w:tcPr>
          <w:p>
            <w:pPr>
              <w:pStyle w:val="TableContents"/>
              <w:bidi w:val="0"/>
              <w:spacing w:before="0" w:after="283"/>
              <w:jc w:val="left"/>
              <w:rPr/>
            </w:pPr>
            <w:r>
              <w:rPr/>
              <w:t> </w:t>
            </w:r>
          </w:p>
        </w:tc>
      </w:tr>
      <w:tr>
        <w:trPr/>
        <w:tc>
          <w:tcPr>
            <w:tcW w:w="7775"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3513 Brighton Blvd.</w:t>
            </w:r>
          </w:p>
        </w:tc>
        <w:tc>
          <w:tcPr>
            <w:tcW w:w="1565" w:type="dxa"/>
            <w:tcBorders/>
            <w:vAlign w:val="center"/>
          </w:tcPr>
          <w:p>
            <w:pPr>
              <w:pStyle w:val="TableContents"/>
              <w:bidi w:val="0"/>
              <w:spacing w:before="0" w:after="283"/>
              <w:jc w:val="left"/>
              <w:rPr/>
            </w:pPr>
            <w:r>
              <w:rPr/>
              <w:t> </w:t>
            </w:r>
          </w:p>
        </w:tc>
      </w:tr>
      <w:tr>
        <w:trPr/>
        <w:tc>
          <w:tcPr>
            <w:tcW w:w="7775"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Suite 410</w:t>
            </w:r>
          </w:p>
        </w:tc>
        <w:tc>
          <w:tcPr>
            <w:tcW w:w="1565" w:type="dxa"/>
            <w:tcBorders/>
            <w:vAlign w:val="center"/>
          </w:tcPr>
          <w:p>
            <w:pPr>
              <w:pStyle w:val="TableContents"/>
              <w:bidi w:val="0"/>
              <w:spacing w:before="0" w:after="283"/>
              <w:jc w:val="left"/>
              <w:rPr/>
            </w:pPr>
            <w:r>
              <w:rPr/>
              <w:t> </w:t>
            </w:r>
          </w:p>
        </w:tc>
      </w:tr>
      <w:tr>
        <w:trPr/>
        <w:tc>
          <w:tcPr>
            <w:tcW w:w="7775"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Denver, CO 80216</w:t>
            </w:r>
          </w:p>
        </w:tc>
        <w:tc>
          <w:tcPr>
            <w:tcW w:w="1565" w:type="dxa"/>
            <w:tcBorders/>
            <w:vAlign w:val="center"/>
          </w:tcPr>
          <w:p>
            <w:pPr>
              <w:pStyle w:val="TableContents"/>
              <w:bidi w:val="0"/>
              <w:spacing w:before="0" w:after="283"/>
              <w:jc w:val="left"/>
              <w:rPr/>
            </w:pPr>
            <w:r>
              <w:rPr/>
              <w:t> </w:t>
            </w:r>
          </w:p>
        </w:tc>
      </w:tr>
      <w:tr>
        <w:trPr/>
        <w:tc>
          <w:tcPr>
            <w:tcW w:w="7775"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(Name and address of agent for service)</w:t>
            </w:r>
          </w:p>
        </w:tc>
        <w:tc>
          <w:tcPr>
            <w:tcW w:w="1565" w:type="dxa"/>
            <w:tcBorders/>
            <w:vAlign w:val="center"/>
          </w:tcPr>
          <w:p>
            <w:pPr>
              <w:pStyle w:val="TableContents"/>
              <w:bidi w:val="0"/>
              <w:spacing w:before="0" w:after="283"/>
              <w:jc w:val="left"/>
              <w:rPr/>
            </w:pPr>
            <w:r>
              <w:rPr/>
              <w:t> </w:t>
            </w:r>
          </w:p>
        </w:tc>
      </w:tr>
      <w:tr>
        <w:trPr/>
        <w:tc>
          <w:tcPr>
            <w:tcW w:w="7775"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283"/>
              <w:jc w:val="left"/>
              <w:rPr/>
            </w:pPr>
            <w:r>
              <w:rPr/>
              <w:t> </w:t>
            </w:r>
          </w:p>
        </w:tc>
      </w:tr>
      <w:tr>
        <w:trPr/>
        <w:tc>
          <w:tcPr>
            <w:tcW w:w="7775"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(844) 427-8100</w:t>
            </w:r>
          </w:p>
        </w:tc>
        <w:tc>
          <w:tcPr>
            <w:tcW w:w="1565" w:type="dxa"/>
            <w:tcBorders/>
            <w:vAlign w:val="center"/>
          </w:tcPr>
          <w:p>
            <w:pPr>
              <w:pStyle w:val="TableContents"/>
              <w:bidi w:val="0"/>
              <w:spacing w:before="0" w:after="283"/>
              <w:jc w:val="left"/>
              <w:rPr/>
            </w:pPr>
            <w:r>
              <w:rPr/>
              <w:t> </w:t>
            </w:r>
          </w:p>
        </w:tc>
      </w:tr>
      <w:tr>
        <w:trPr/>
        <w:tc>
          <w:tcPr>
            <w:tcW w:w="7775"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(Telephone number, including area code, of agent for service)</w:t>
            </w:r>
          </w:p>
        </w:tc>
        <w:tc>
          <w:tcPr>
            <w:tcW w:w="1565" w:type="dxa"/>
            <w:tcBorders/>
            <w:vAlign w:val="center"/>
          </w:tcPr>
          <w:p>
            <w:pPr>
              <w:pStyle w:val="TableContents"/>
              <w:bidi w:val="0"/>
              <w:spacing w:before="0" w:after="283"/>
              <w:jc w:val="left"/>
              <w:rPr/>
            </w:pPr>
            <w:r>
              <w:rPr/>
              <w:t> </w:t>
            </w:r>
          </w:p>
        </w:tc>
      </w:tr>
      <w:tr>
        <w:trPr/>
        <w:tc>
          <w:tcPr>
            <w:tcW w:w="7775" w:type="dxa"/>
            <w:tcBorders/>
            <w:vAlign w:val="center"/>
          </w:tcPr>
          <w:p>
            <w:pPr>
              <w:pStyle w:val="TableContents"/>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With copies of all notices, orders, and communications to:</w:t>
            </w:r>
          </w:p>
        </w:tc>
        <w:tc>
          <w:tcPr>
            <w:tcW w:w="1565" w:type="dxa"/>
            <w:tcBorders/>
            <w:vAlign w:val="center"/>
          </w:tcPr>
          <w:p>
            <w:pPr>
              <w:pStyle w:val="TableContents"/>
              <w:bidi w:val="0"/>
              <w:spacing w:before="0" w:after="283"/>
              <w:jc w:val="left"/>
              <w:rPr/>
            </w:pPr>
            <w:r>
              <w:rPr/>
              <w:t> </w:t>
            </w:r>
          </w:p>
        </w:tc>
      </w:tr>
      <w:tr>
        <w:trPr/>
        <w:tc>
          <w:tcPr>
            <w:tcW w:w="7775"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283"/>
              <w:jc w:val="left"/>
              <w:rPr/>
            </w:pPr>
            <w:r>
              <w:rPr/>
              <w:t> </w:t>
            </w:r>
          </w:p>
        </w:tc>
      </w:tr>
      <w:tr>
        <w:trPr/>
        <w:tc>
          <w:tcPr>
            <w:tcW w:w="7775"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Joshua Erekson</w:t>
            </w:r>
          </w:p>
        </w:tc>
        <w:tc>
          <w:tcPr>
            <w:tcW w:w="1565" w:type="dxa"/>
            <w:tcBorders/>
            <w:vAlign w:val="center"/>
          </w:tcPr>
          <w:p>
            <w:pPr>
              <w:pStyle w:val="TableContents"/>
              <w:bidi w:val="0"/>
              <w:spacing w:before="0" w:after="283"/>
              <w:jc w:val="left"/>
              <w:rPr/>
            </w:pPr>
            <w:r>
              <w:rPr/>
              <w:t> </w:t>
            </w:r>
          </w:p>
        </w:tc>
      </w:tr>
      <w:tr>
        <w:trPr/>
        <w:tc>
          <w:tcPr>
            <w:tcW w:w="7775"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Daniel Lyman</w:t>
            </w:r>
          </w:p>
        </w:tc>
        <w:tc>
          <w:tcPr>
            <w:tcW w:w="1565" w:type="dxa"/>
            <w:tcBorders/>
            <w:vAlign w:val="center"/>
          </w:tcPr>
          <w:p>
            <w:pPr>
              <w:pStyle w:val="TableContents"/>
              <w:bidi w:val="0"/>
              <w:spacing w:before="0" w:after="283"/>
              <w:jc w:val="left"/>
              <w:rPr/>
            </w:pPr>
            <w:r>
              <w:rPr/>
              <w:t> </w:t>
            </w:r>
          </w:p>
        </w:tc>
      </w:tr>
      <w:tr>
        <w:trPr/>
        <w:tc>
          <w:tcPr>
            <w:tcW w:w="7775"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Dorsey &amp; Whitney LLP</w:t>
            </w:r>
          </w:p>
        </w:tc>
        <w:tc>
          <w:tcPr>
            <w:tcW w:w="1565" w:type="dxa"/>
            <w:tcBorders/>
            <w:vAlign w:val="center"/>
          </w:tcPr>
          <w:p>
            <w:pPr>
              <w:pStyle w:val="TableContents"/>
              <w:bidi w:val="0"/>
              <w:spacing w:before="0" w:after="283"/>
              <w:jc w:val="left"/>
              <w:rPr/>
            </w:pPr>
            <w:r>
              <w:rPr/>
              <w:t> </w:t>
            </w:r>
          </w:p>
        </w:tc>
      </w:tr>
      <w:tr>
        <w:trPr/>
        <w:tc>
          <w:tcPr>
            <w:tcW w:w="7775"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111 South Main Street, Suite 2100</w:t>
            </w:r>
          </w:p>
        </w:tc>
        <w:tc>
          <w:tcPr>
            <w:tcW w:w="1565" w:type="dxa"/>
            <w:tcBorders/>
            <w:vAlign w:val="center"/>
          </w:tcPr>
          <w:p>
            <w:pPr>
              <w:pStyle w:val="TableContents"/>
              <w:bidi w:val="0"/>
              <w:spacing w:before="0" w:after="283"/>
              <w:jc w:val="left"/>
              <w:rPr/>
            </w:pPr>
            <w:r>
              <w:rPr/>
              <w:t> </w:t>
            </w:r>
          </w:p>
        </w:tc>
      </w:tr>
      <w:tr>
        <w:trPr/>
        <w:tc>
          <w:tcPr>
            <w:tcW w:w="7775"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Salt Lake City, UT 84111</w:t>
            </w:r>
          </w:p>
        </w:tc>
        <w:tc>
          <w:tcPr>
            <w:tcW w:w="1565" w:type="dxa"/>
            <w:tcBorders/>
            <w:vAlign w:val="center"/>
          </w:tcPr>
          <w:p>
            <w:pPr>
              <w:pStyle w:val="TableContents"/>
              <w:bidi w:val="0"/>
              <w:spacing w:before="0" w:after="283"/>
              <w:jc w:val="left"/>
              <w:rPr/>
            </w:pPr>
            <w:r>
              <w:rPr/>
              <w:t> </w:t>
            </w:r>
          </w:p>
        </w:tc>
      </w:tr>
      <w:tr>
        <w:trPr/>
        <w:tc>
          <w:tcPr>
            <w:tcW w:w="7775"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(801) 933-7360</w:t>
            </w:r>
          </w:p>
        </w:tc>
        <w:tc>
          <w:tcPr>
            <w:tcW w:w="156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4505" w:type="dxa"/>
        <w:jc w:val="left"/>
        <w:tblInd w:w="0" w:type="dxa"/>
        <w:tblLayout w:type="fixed"/>
        <w:tblCellMar>
          <w:top w:w="0" w:type="dxa"/>
          <w:left w:w="0" w:type="dxa"/>
          <w:bottom w:w="0" w:type="dxa"/>
          <w:right w:w="0" w:type="dxa"/>
        </w:tblCellMar>
      </w:tblPr>
      <w:tblGrid>
        <w:gridCol w:w="1820"/>
        <w:gridCol w:w="230"/>
        <w:gridCol w:w="2225"/>
        <w:gridCol w:w="230"/>
      </w:tblGrid>
      <w:tr>
        <w:trPr/>
        <w:tc>
          <w:tcPr>
            <w:tcW w:w="18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Large accelerated filer</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225" w:type="dxa"/>
            <w:tcBorders/>
            <w:vAlign w:val="center"/>
          </w:tcPr>
          <w:p>
            <w:pPr>
              <w:pStyle w:val="TableContents"/>
              <w:bidi w:val="0"/>
              <w:spacing w:before="0" w:after="0"/>
              <w:ind w:left="600" w:right="0" w:hanging="0"/>
              <w:jc w:val="left"/>
              <w:rPr>
                <w:rFonts w:ascii="Times New Roman" w:hAnsi="Times New Roman"/>
                <w:caps w:val="false"/>
                <w:smallCaps w:val="false"/>
                <w:sz w:val="20"/>
              </w:rPr>
            </w:pPr>
            <w:r>
              <w:rPr>
                <w:rFonts w:ascii="Times New Roman" w:hAnsi="Times New Roman"/>
                <w:caps w:val="false"/>
                <w:smallCaps w:val="false"/>
                <w:sz w:val="20"/>
              </w:rPr>
              <w:t>Accelerated filer</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18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Non-accelerated filer</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225" w:type="dxa"/>
            <w:tcBorders/>
            <w:vAlign w:val="center"/>
          </w:tcPr>
          <w:p>
            <w:pPr>
              <w:pStyle w:val="TableContents"/>
              <w:bidi w:val="0"/>
              <w:spacing w:before="0" w:after="0"/>
              <w:ind w:left="600" w:right="0" w:hanging="0"/>
              <w:jc w:val="left"/>
              <w:rPr>
                <w:rFonts w:ascii="Times New Roman" w:hAnsi="Times New Roman"/>
                <w:caps w:val="false"/>
                <w:smallCaps w:val="false"/>
                <w:sz w:val="20"/>
              </w:rPr>
            </w:pPr>
            <w:r>
              <w:rPr>
                <w:rFonts w:ascii="Times New Roman" w:hAnsi="Times New Roman"/>
                <w:caps w:val="false"/>
                <w:smallCaps w:val="false"/>
                <w:sz w:val="20"/>
              </w:rPr>
              <w:t>Smaller reporting company</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18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0"/>
              <w:ind w:left="600" w:right="0" w:hanging="0"/>
              <w:jc w:val="left"/>
              <w:rPr>
                <w:rFonts w:ascii="Times New Roman" w:hAnsi="Times New Roman"/>
                <w:caps w:val="false"/>
                <w:smallCaps w:val="false"/>
                <w:sz w:val="20"/>
              </w:rPr>
            </w:pPr>
            <w:r>
              <w:rPr>
                <w:rFonts w:ascii="Times New Roman" w:hAnsi="Times New Roman"/>
                <w:caps w:val="false"/>
                <w:smallCaps w:val="false"/>
                <w:sz w:val="20"/>
              </w:rPr>
              <w:t>Emerging growth company</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EXPLANATORY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20"/>
        <w:jc w:val="both"/>
        <w:rPr>
          <w:rFonts w:ascii="Times New Roman" w:hAnsi="Times New Roman"/>
          <w:caps w:val="false"/>
          <w:smallCaps w:val="false"/>
          <w:sz w:val="20"/>
        </w:rPr>
      </w:pPr>
      <w:r>
        <w:rPr>
          <w:rFonts w:ascii="Times New Roman" w:hAnsi="Times New Roman"/>
          <w:caps w:val="false"/>
          <w:smallCaps w:val="false"/>
          <w:sz w:val="20"/>
        </w:rPr>
        <w:t>This Registration Statement on Form S-8 (the “Registration Statement”), relating to the Amended and Restated SeaStar Medical Holding Corporation 2022 Omnibus Incentive Plan (as amended, the “Incentive Plan”), is being filed for the purpose of registering: (i) 689,500 shares (the “Shares”) of common stock, par value $0.0001 per share (the “Common Stock”), of SeaStar Medical Holding Corporation (the “Registrant”), reserved for issuance pursuant to an amendment to the Incentive Plan, which was approved by shareholders on June 17, 2026, and (ii) pursuant to Rule 416(a) under the Securities Act of 1933, as amended (the “Securities Act”), any additional shares of Common Stock that become issuable under the Incentive Plan by reason of any stock dividend, stock split, or other similar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20"/>
        <w:jc w:val="both"/>
        <w:rPr>
          <w:rFonts w:ascii="Times New Roman" w:hAnsi="Times New Roman"/>
          <w:caps w:val="false"/>
          <w:smallCaps w:val="false"/>
          <w:sz w:val="20"/>
        </w:rPr>
      </w:pPr>
      <w:r>
        <w:rPr>
          <w:rFonts w:ascii="Times New Roman" w:hAnsi="Times New Roman"/>
          <w:caps w:val="false"/>
          <w:smallCaps w:val="false"/>
          <w:sz w:val="20"/>
        </w:rPr>
        <w:t>The Shares are securities of the same class and relate to the same employee benefit plan as (i) the 5,080 shares of Common Stock (</w:t>
      </w:r>
      <w:r>
        <w:rPr>
          <w:rFonts w:ascii="Times New Roman" w:hAnsi="Times New Roman"/>
          <w:i/>
          <w:caps w:val="false"/>
          <w:smallCaps w:val="false"/>
          <w:sz w:val="20"/>
        </w:rPr>
        <w:t>a</w:t>
      </w:r>
      <w:r>
        <w:rPr>
          <w:rFonts w:ascii="Times New Roman" w:hAnsi="Times New Roman"/>
          <w:caps w:val="false"/>
          <w:smallCaps w:val="false"/>
          <w:sz w:val="20"/>
        </w:rPr>
        <w:t xml:space="preserve">fter </w:t>
      </w:r>
      <w:r>
        <w:rPr>
          <w:rFonts w:ascii="Times New Roman" w:hAnsi="Times New Roman"/>
          <w:i/>
          <w:caps w:val="false"/>
          <w:smallCaps w:val="false"/>
          <w:sz w:val="20"/>
        </w:rPr>
        <w:t>giving effect to both of the reverse stock splits referenced below</w:t>
      </w:r>
      <w:r>
        <w:rPr>
          <w:rFonts w:ascii="Times New Roman" w:hAnsi="Times New Roman"/>
          <w:caps w:val="false"/>
          <w:smallCaps w:val="false"/>
          <w:sz w:val="20"/>
        </w:rPr>
        <w:t>) registered for issuance pursuant to the Registration Statement on Form S-8, File No. 333-270070, filed by the Registrant with the Securities and Exchange Commission (the “SEC”) on February 27, 2023, (ii) the 4,720 shares of Common Stock (</w:t>
      </w:r>
      <w:r>
        <w:rPr>
          <w:rFonts w:ascii="Times New Roman" w:hAnsi="Times New Roman"/>
          <w:i/>
          <w:caps w:val="false"/>
          <w:smallCaps w:val="false"/>
          <w:sz w:val="20"/>
        </w:rPr>
        <w:t>after giving</w:t>
      </w:r>
      <w:r>
        <w:rPr>
          <w:rFonts w:ascii="Times New Roman" w:hAnsi="Times New Roman"/>
          <w:caps w:val="false"/>
          <w:smallCaps w:val="false"/>
          <w:sz w:val="20"/>
        </w:rPr>
        <w:t xml:space="preserve"> </w:t>
      </w:r>
      <w:r>
        <w:rPr>
          <w:rFonts w:ascii="Times New Roman" w:hAnsi="Times New Roman"/>
          <w:i/>
          <w:caps w:val="false"/>
          <w:smallCaps w:val="false"/>
          <w:sz w:val="20"/>
        </w:rPr>
        <w:t>effect to both of the reverse splits referenced below</w:t>
      </w:r>
      <w:r>
        <w:rPr>
          <w:rFonts w:ascii="Times New Roman" w:hAnsi="Times New Roman"/>
          <w:caps w:val="false"/>
          <w:smallCaps w:val="false"/>
          <w:sz w:val="20"/>
        </w:rPr>
        <w:t>) registered for issuance pursuant to the Registration Statement on Form S-8, File No. 333-276978, filed by the Registrant with the SEC on February 9, 2024, (iii) the 47,246 shares of Common Stock (</w:t>
      </w:r>
      <w:r>
        <w:rPr>
          <w:rFonts w:ascii="Times New Roman" w:hAnsi="Times New Roman"/>
          <w:i/>
          <w:caps w:val="false"/>
          <w:smallCaps w:val="false"/>
          <w:sz w:val="20"/>
        </w:rPr>
        <w:t>after giving effect to the January 5, 2026 reverse split referenced below</w:t>
      </w:r>
      <w:r>
        <w:rPr>
          <w:rFonts w:ascii="Times New Roman" w:hAnsi="Times New Roman"/>
          <w:caps w:val="false"/>
          <w:smallCaps w:val="false"/>
          <w:sz w:val="20"/>
        </w:rPr>
        <w:t>) registered for issuance pursuant to the Registration Statement on Form S-8, File No. 333-286671, filed by the Registrant with the SEC on April 22, 2025, and (iv) the 150,000 shares of Common Stock (</w:t>
      </w:r>
      <w:r>
        <w:rPr>
          <w:rFonts w:ascii="Times New Roman" w:hAnsi="Times New Roman"/>
          <w:i/>
          <w:caps w:val="false"/>
          <w:smallCaps w:val="false"/>
          <w:sz w:val="20"/>
        </w:rPr>
        <w:t>after giving effect to the January 5, 2026 reverse split referenced below</w:t>
      </w:r>
      <w:r>
        <w:rPr>
          <w:rFonts w:ascii="Times New Roman" w:hAnsi="Times New Roman"/>
          <w:caps w:val="false"/>
          <w:smallCaps w:val="false"/>
          <w:sz w:val="20"/>
        </w:rPr>
        <w:t>) registered for issuance pursuant to the Registration Statement on Form S-8, File No. 333-289421, filed by the Registrant with the SEC on August 8, 2025 (collectively, the “Prior Registration Statements”). This Registration Statement is filed in accordance with General Instruction E to Form S-8. Accordingly, pursuant to General Instruction E, the Registrant hereby incorporates by reference herein the contents of the Prior Registration Statements and hereby deems such contents to be a part hereof, except as otherwise updated or modified by this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The Reverse Stock Splits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20"/>
        <w:jc w:val="both"/>
        <w:rPr>
          <w:rFonts w:ascii="Times New Roman" w:hAnsi="Times New Roman"/>
          <w:caps w:val="false"/>
          <w:smallCaps w:val="false"/>
          <w:sz w:val="20"/>
        </w:rPr>
      </w:pPr>
      <w:r>
        <w:rPr>
          <w:rFonts w:ascii="Times New Roman" w:hAnsi="Times New Roman"/>
          <w:caps w:val="false"/>
          <w:smallCaps w:val="false"/>
          <w:sz w:val="20"/>
        </w:rPr>
        <w:t>On June 7, 2024, the Company effected a 1-for-25 reverse-stock split (the “2024 Reverse Stock Split”) of its issued and outstanding shares of Common Stock. Following the effect of the 2024 Reverse Stock Split, each 25 shares of the Company’s common stock that were issued and outstanding automatically converted into one outstanding share of common stock.</w:t>
      </w:r>
    </w:p>
    <w:p>
      <w:pPr>
        <w:pStyle w:val="TextBody"/>
        <w:bidi w:val="0"/>
        <w:spacing w:before="0" w:after="0"/>
        <w:ind w:left="0" w:right="0" w:firstLine="520"/>
        <w:jc w:val="both"/>
        <w:rPr>
          <w:caps w:val="false"/>
          <w:smallCaps w:val="false"/>
        </w:rPr>
      </w:pPr>
      <w:r>
        <w:rPr>
          <w:caps w:val="false"/>
          <w:smallCaps w:val="false"/>
        </w:rPr>
        <w:t> </w:t>
      </w:r>
    </w:p>
    <w:p>
      <w:pPr>
        <w:pStyle w:val="TextBody"/>
        <w:bidi w:val="0"/>
        <w:spacing w:before="0" w:after="0"/>
        <w:ind w:left="0" w:right="0" w:firstLine="520"/>
        <w:jc w:val="both"/>
        <w:rPr>
          <w:rFonts w:ascii="Times New Roman" w:hAnsi="Times New Roman"/>
          <w:caps w:val="false"/>
          <w:smallCaps w:val="false"/>
          <w:sz w:val="20"/>
        </w:rPr>
      </w:pPr>
      <w:r>
        <w:rPr>
          <w:rFonts w:ascii="Times New Roman" w:hAnsi="Times New Roman"/>
          <w:caps w:val="false"/>
          <w:smallCaps w:val="false"/>
          <w:sz w:val="20"/>
        </w:rPr>
        <w:t>On January 5, 2026, the Company effected a 1-for-10 reverse-stock split (the “2026 Reverse Stock Split,” together with the 2024 Reverse Stock Split, the “Reverse Stock Splits”) of its issued and outstanding shares of common stock, par value $0.0001. Following the effect of the 2026 Reverse Stock Split, each 10 shares of Common Stock that were issued and outstanding automatically converted into one outstanding share of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20"/>
        <w:jc w:val="both"/>
        <w:rPr>
          <w:rFonts w:ascii="Times New Roman" w:hAnsi="Times New Roman"/>
          <w:caps w:val="false"/>
          <w:smallCaps w:val="false"/>
          <w:sz w:val="20"/>
        </w:rPr>
      </w:pPr>
      <w:r>
        <w:rPr>
          <w:rFonts w:ascii="Times New Roman" w:hAnsi="Times New Roman"/>
          <w:caps w:val="false"/>
          <w:smallCaps w:val="false"/>
          <w:sz w:val="20"/>
        </w:rPr>
        <w:t>Combined, this had the effect of a 1-for-250 reverse stock split. All share amounts referenced above and otherwise in this Registration Statement, depending on the date of the prior registration statements, give effect to the Reverse Stock Splits.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PART 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INFORMATION REQUIRED IN THE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 3.</w:t>
      </w:r>
      <w:r>
        <w:rPr>
          <w:rFonts w:ascii="Times New Roman" w:hAnsi="Times New Roman"/>
          <w:caps w:val="false"/>
          <w:smallCaps w:val="false"/>
          <w:sz w:val="20"/>
        </w:rPr>
        <w:t>         </w:t>
      </w:r>
      <w:r>
        <w:rPr>
          <w:rFonts w:ascii="Times New Roman" w:hAnsi="Times New Roman"/>
          <w:b/>
          <w:caps w:val="false"/>
          <w:smallCaps w:val="false"/>
          <w:sz w:val="20"/>
        </w:rPr>
        <w:t>Incorporation of Documents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20"/>
        <w:jc w:val="both"/>
        <w:rPr>
          <w:rFonts w:ascii="Times New Roman" w:hAnsi="Times New Roman"/>
          <w:caps w:val="false"/>
          <w:smallCaps w:val="false"/>
          <w:sz w:val="20"/>
        </w:rPr>
      </w:pPr>
      <w:r>
        <w:rPr>
          <w:rFonts w:ascii="Times New Roman" w:hAnsi="Times New Roman"/>
          <w:caps w:val="false"/>
          <w:smallCaps w:val="false"/>
          <w:sz w:val="20"/>
        </w:rPr>
        <w:t>The following documents filed by the Registrant with the SEC pursuant to the Securities Act and the Securities Exchange Act of 1934, as amended (the “Exchange Act”), are hereby incorporated by reference into this Registration Statement: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28"/>
        <w:gridCol w:w="9917"/>
      </w:tblGrid>
      <w:tr>
        <w:trPr/>
        <w:tc>
          <w:tcPr>
            <w:tcW w:w="60"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9917" w:type="dxa"/>
            <w:tcBorders/>
            <w:vAlign w:val="center"/>
          </w:tcPr>
          <w:p>
            <w:pPr>
              <w:pStyle w:val="TableContents"/>
              <w:bidi w:val="0"/>
              <w:spacing w:before="0" w:after="0"/>
              <w:ind w:left="0" w:right="0" w:hanging="0"/>
              <w:jc w:val="left"/>
              <w:rPr/>
            </w:pPr>
            <w:r>
              <w:rPr>
                <w:rFonts w:ascii="Times New Roman" w:hAnsi="Times New Roman"/>
                <w:caps w:val="false"/>
                <w:smallCaps w:val="false"/>
                <w:sz w:val="20"/>
              </w:rPr>
              <w:t xml:space="preserve">The Registrant’s Annual Report on Form 10-K for the year ended December 31, 2025, filed with the SEC on </w:t>
            </w:r>
            <w:hyperlink r:id="rId2">
              <w:r>
                <w:rPr>
                  <w:rStyle w:val="InternetLink"/>
                  <w:rFonts w:ascii="Times New Roman" w:hAnsi="Times New Roman"/>
                  <w:caps w:val="false"/>
                  <w:smallCaps w:val="false"/>
                  <w:sz w:val="20"/>
                  <w:u w:val="single"/>
                </w:rPr>
                <w:t>March 25, 2026</w:t>
              </w:r>
            </w:hyperlink>
            <w:r>
              <w:rPr>
                <w:rFonts w:ascii="Times New Roman" w:hAnsi="Times New Roman"/>
                <w:caps w:val="false"/>
                <w:smallCaps w:val="false"/>
                <w:sz w:val="20"/>
                <w:u w:val="single"/>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43"/>
        <w:gridCol w:w="9902"/>
      </w:tblGrid>
      <w:tr>
        <w:trPr/>
        <w:tc>
          <w:tcPr>
            <w:tcW w:w="60"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9902" w:type="dxa"/>
            <w:tcBorders/>
            <w:vAlign w:val="center"/>
          </w:tcPr>
          <w:p>
            <w:pPr>
              <w:pStyle w:val="TableContents"/>
              <w:bidi w:val="0"/>
              <w:spacing w:before="0" w:after="0"/>
              <w:ind w:left="0" w:right="0" w:hanging="0"/>
              <w:jc w:val="left"/>
              <w:rPr/>
            </w:pPr>
            <w:r>
              <w:rPr>
                <w:rFonts w:ascii="Times New Roman" w:hAnsi="Times New Roman"/>
                <w:caps w:val="false"/>
                <w:smallCaps w:val="false"/>
                <w:sz w:val="20"/>
              </w:rPr>
              <w:t xml:space="preserve">The Registrant’s Quarterly Report on Form 10-Q for the quarter ended March 31, 2026, filed with the SEC on </w:t>
            </w:r>
            <w:hyperlink r:id="rId3">
              <w:r>
                <w:rPr>
                  <w:rStyle w:val="InternetLink"/>
                  <w:rFonts w:ascii="Times New Roman" w:hAnsi="Times New Roman"/>
                  <w:caps w:val="false"/>
                  <w:smallCaps w:val="false"/>
                  <w:sz w:val="20"/>
                  <w:u w:val="single"/>
                </w:rPr>
                <w:t>May 13, 2026</w:t>
              </w:r>
            </w:hyperlink>
            <w:r>
              <w:rPr>
                <w:rFonts w:ascii="Times New Roman" w:hAnsi="Times New Roman"/>
                <w:caps w:val="false"/>
                <w:smallCaps w:val="false"/>
                <w:sz w:val="20"/>
              </w:rPr>
              <w:t>;</w:t>
            </w:r>
          </w:p>
        </w:tc>
      </w:tr>
    </w:tbl>
    <w:p>
      <w:pPr>
        <w:pStyle w:val="TextBody"/>
        <w:bidi w:val="0"/>
        <w:spacing w:before="0" w:after="0"/>
        <w:ind w:left="1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11"/>
        <w:gridCol w:w="9934"/>
      </w:tblGrid>
      <w:tr>
        <w:trPr/>
        <w:tc>
          <w:tcPr>
            <w:tcW w:w="6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w:t>
            </w:r>
          </w:p>
        </w:tc>
        <w:tc>
          <w:tcPr>
            <w:tcW w:w="9934" w:type="dxa"/>
            <w:tcBorders/>
            <w:vAlign w:val="center"/>
          </w:tcPr>
          <w:p>
            <w:pPr>
              <w:pStyle w:val="TableContents"/>
              <w:bidi w:val="0"/>
              <w:spacing w:before="0" w:after="0"/>
              <w:ind w:left="0" w:right="0" w:hanging="0"/>
              <w:jc w:val="left"/>
              <w:rPr/>
            </w:pPr>
            <w:r>
              <w:rPr>
                <w:rFonts w:ascii="Times New Roman" w:hAnsi="Times New Roman"/>
                <w:caps w:val="false"/>
                <w:smallCaps w:val="false"/>
                <w:sz w:val="20"/>
              </w:rPr>
              <w:t xml:space="preserve">The Registrant’s Current Reports on Form 8-K filed with the SEC on </w:t>
            </w:r>
            <w:hyperlink r:id="rId4">
              <w:r>
                <w:rPr>
                  <w:rStyle w:val="InternetLink"/>
                  <w:rFonts w:ascii="Times New Roman" w:hAnsi="Times New Roman"/>
                  <w:caps w:val="false"/>
                  <w:smallCaps w:val="false"/>
                  <w:sz w:val="20"/>
                  <w:u w:val="single"/>
                </w:rPr>
                <w:t>January 20,</w:t>
              </w:r>
            </w:hyperlink>
            <w:r>
              <w:rPr>
                <w:rFonts w:ascii="Times New Roman" w:hAnsi="Times New Roman"/>
                <w:caps w:val="false"/>
                <w:smallCaps w:val="false"/>
                <w:sz w:val="20"/>
                <w:u w:val="single"/>
              </w:rPr>
              <w:t> 2026</w:t>
            </w:r>
            <w:r>
              <w:rPr>
                <w:rFonts w:ascii="Times New Roman" w:hAnsi="Times New Roman"/>
                <w:caps w:val="false"/>
                <w:smallCaps w:val="false"/>
                <w:sz w:val="20"/>
              </w:rPr>
              <w:t xml:space="preserve">, </w:t>
            </w:r>
            <w:hyperlink r:id="rId5">
              <w:r>
                <w:rPr>
                  <w:rStyle w:val="InternetLink"/>
                  <w:rFonts w:ascii="Times New Roman" w:hAnsi="Times New Roman"/>
                  <w:caps w:val="false"/>
                  <w:smallCaps w:val="false"/>
                  <w:sz w:val="20"/>
                  <w:u w:val="single"/>
                </w:rPr>
                <w:t>April 28, 2026</w:t>
              </w:r>
            </w:hyperlink>
            <w:r>
              <w:rPr>
                <w:rFonts w:ascii="Times New Roman" w:hAnsi="Times New Roman"/>
                <w:caps w:val="false"/>
                <w:smallCaps w:val="false"/>
                <w:sz w:val="20"/>
              </w:rPr>
              <w:t xml:space="preserve">, </w:t>
            </w:r>
            <w:hyperlink r:id="rId6">
              <w:r>
                <w:rPr>
                  <w:rStyle w:val="InternetLink"/>
                  <w:rFonts w:ascii="Times New Roman" w:hAnsi="Times New Roman"/>
                  <w:caps w:val="false"/>
                  <w:smallCaps w:val="false"/>
                  <w:sz w:val="20"/>
                  <w:u w:val="single"/>
                </w:rPr>
                <w:t xml:space="preserve">June </w:t>
              </w:r>
            </w:hyperlink>
            <w:r>
              <w:rPr>
                <w:rFonts w:ascii="Times New Roman" w:hAnsi="Times New Roman"/>
                <w:caps w:val="false"/>
                <w:smallCaps w:val="false"/>
                <w:sz w:val="20"/>
                <w:u w:val="single"/>
              </w:rPr>
              <w:t>17, 2026</w:t>
            </w:r>
            <w:r>
              <w:rPr>
                <w:rFonts w:ascii="Times New Roman" w:hAnsi="Times New Roman"/>
                <w:caps w:val="false"/>
                <w:smallCaps w:val="false"/>
                <w:sz w:val="20"/>
              </w:rPr>
              <w:t xml:space="preserve">, </w:t>
            </w:r>
            <w:hyperlink r:id="rId7">
              <w:r>
                <w:rPr>
                  <w:rStyle w:val="InternetLink"/>
                  <w:rFonts w:ascii="Times New Roman" w:hAnsi="Times New Roman"/>
                  <w:caps w:val="false"/>
                  <w:smallCaps w:val="false"/>
                  <w:sz w:val="20"/>
                  <w:u w:val="single"/>
                </w:rPr>
                <w:t>July 1, 202</w:t>
              </w:r>
            </w:hyperlink>
            <w:r>
              <w:rPr>
                <w:rFonts w:ascii="Times New Roman" w:hAnsi="Times New Roman"/>
                <w:caps w:val="false"/>
                <w:smallCaps w:val="false"/>
                <w:sz w:val="20"/>
                <w:u w:val="single"/>
              </w:rPr>
              <w:t>6</w:t>
            </w:r>
            <w:r>
              <w:rPr>
                <w:rFonts w:ascii="Times New Roman" w:hAnsi="Times New Roman"/>
                <w:caps w:val="false"/>
                <w:smallCaps w:val="false"/>
                <w:sz w:val="20"/>
              </w:rPr>
              <w:t xml:space="preserve">, and Form 8-K/A filed </w:t>
            </w:r>
            <w:hyperlink r:id="rId8">
              <w:r>
                <w:rPr>
                  <w:rStyle w:val="InternetLink"/>
                  <w:rFonts w:ascii="Times New Roman" w:hAnsi="Times New Roman"/>
                  <w:caps w:val="false"/>
                  <w:smallCaps w:val="false"/>
                  <w:sz w:val="20"/>
                  <w:u w:val="single"/>
                </w:rPr>
                <w:t>June 23, 2026</w:t>
              </w:r>
            </w:hyperlink>
            <w:r>
              <w:rPr>
                <w:rFonts w:ascii="Times New Roman" w:hAnsi="Times New Roman"/>
                <w:caps w:val="false"/>
                <w:smallCaps w:val="false"/>
                <w:sz w:val="20"/>
                <w:u w:val="single"/>
              </w:rPr>
              <w:t>;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1"/>
        <w:gridCol w:w="9944"/>
      </w:tblGrid>
      <w:tr>
        <w:trPr/>
        <w:tc>
          <w:tcPr>
            <w:tcW w:w="60"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w:t>
            </w:r>
          </w:p>
        </w:tc>
        <w:tc>
          <w:tcPr>
            <w:tcW w:w="9944" w:type="dxa"/>
            <w:tcBorders/>
            <w:vAlign w:val="center"/>
          </w:tcPr>
          <w:p>
            <w:pPr>
              <w:pStyle w:val="TableContents"/>
              <w:bidi w:val="0"/>
              <w:spacing w:before="0" w:after="0"/>
              <w:ind w:left="0" w:right="0" w:hanging="0"/>
              <w:jc w:val="left"/>
              <w:rPr/>
            </w:pPr>
            <w:hyperlink r:id="rId9">
              <w:r>
                <w:rPr>
                  <w:rStyle w:val="InternetLink"/>
                  <w:rFonts w:ascii="Times New Roman" w:hAnsi="Times New Roman"/>
                  <w:caps w:val="false"/>
                  <w:smallCaps w:val="false"/>
                  <w:sz w:val="20"/>
                </w:rPr>
                <w:t>The description of the Registrant</w:t>
              </w:r>
            </w:hyperlink>
            <w:r>
              <w:rPr>
                <w:rFonts w:ascii="Times New Roman" w:hAnsi="Times New Roman"/>
                <w:caps w:val="false"/>
                <w:smallCaps w:val="false"/>
                <w:sz w:val="20"/>
              </w:rPr>
              <w:t xml:space="preserve">’s Common Stock set forth in the Registrant’s registration statement on Form 8-A/A filed with the SEC on </w:t>
            </w:r>
            <w:r>
              <w:rPr>
                <w:rFonts w:ascii="Times New Roman" w:hAnsi="Times New Roman"/>
                <w:caps w:val="false"/>
                <w:smallCaps w:val="false"/>
                <w:sz w:val="20"/>
                <w:u w:val="single"/>
              </w:rPr>
              <w:t>October</w:t>
            </w:r>
            <w:r>
              <w:rPr>
                <w:rFonts w:ascii="Times New Roman" w:hAnsi="Times New Roman"/>
                <w:caps w:val="false"/>
                <w:smallCaps w:val="false"/>
                <w:sz w:val="20"/>
              </w:rPr>
              <w:t> </w:t>
            </w:r>
            <w:hyperlink r:id="rId10">
              <w:r>
                <w:rPr>
                  <w:rStyle w:val="InternetLink"/>
                  <w:rFonts w:ascii="Times New Roman" w:hAnsi="Times New Roman"/>
                  <w:caps w:val="false"/>
                  <w:smallCaps w:val="false"/>
                  <w:sz w:val="20"/>
                  <w:u w:val="single"/>
                </w:rPr>
                <w:t>31, 2022</w:t>
              </w:r>
            </w:hyperlink>
            <w:r>
              <w:rPr>
                <w:rFonts w:ascii="Times New Roman" w:hAnsi="Times New Roman"/>
                <w:caps w:val="false"/>
                <w:smallCaps w:val="false"/>
                <w:sz w:val="20"/>
              </w:rPr>
              <w:t xml:space="preserve">, as updated by </w:t>
            </w:r>
            <w:hyperlink r:id="rId11">
              <w:r>
                <w:rPr>
                  <w:rStyle w:val="InternetLink"/>
                  <w:rFonts w:ascii="Times New Roman" w:hAnsi="Times New Roman"/>
                  <w:caps w:val="false"/>
                  <w:smallCaps w:val="false"/>
                  <w:sz w:val="20"/>
                  <w:u w:val="single"/>
                </w:rPr>
                <w:t xml:space="preserve">Exhibit 4.3 </w:t>
              </w:r>
            </w:hyperlink>
            <w:hyperlink r:id="rId12">
              <w:r>
                <w:rPr>
                  <w:rStyle w:val="InternetLink"/>
                  <w:rFonts w:ascii="Times New Roman" w:hAnsi="Times New Roman"/>
                  <w:caps w:val="false"/>
                  <w:smallCaps w:val="false"/>
                  <w:sz w:val="20"/>
                </w:rPr>
                <w:t>to the Registrant</w:t>
              </w:r>
            </w:hyperlink>
            <w:r>
              <w:rPr>
                <w:rFonts w:ascii="Times New Roman" w:hAnsi="Times New Roman"/>
                <w:caps w:val="false"/>
                <w:smallCaps w:val="false"/>
                <w:sz w:val="20"/>
              </w:rPr>
              <w:t xml:space="preserve">’s Annual Report on Form 10-K for the year ended December 31, 2024, filed with the SEC on </w:t>
            </w:r>
            <w:hyperlink r:id="rId13">
              <w:r>
                <w:rPr>
                  <w:rStyle w:val="InternetLink"/>
                  <w:rFonts w:ascii="Times New Roman" w:hAnsi="Times New Roman"/>
                  <w:caps w:val="false"/>
                  <w:smallCaps w:val="false"/>
                  <w:sz w:val="20"/>
                  <w:u w:val="single"/>
                </w:rPr>
                <w:t>March 27, 2025</w:t>
              </w:r>
            </w:hyperlink>
            <w:r>
              <w:rPr>
                <w:rFonts w:ascii="Times New Roman" w:hAnsi="Times New Roman"/>
                <w:caps w:val="false"/>
                <w:smallCaps w:val="false"/>
                <w:sz w:val="20"/>
              </w:rPr>
              <w:t>, and any amendment or report filed with the SEC for the purposes of updating such description.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20"/>
        <w:jc w:val="left"/>
        <w:rPr>
          <w:rFonts w:ascii="Times New Roman" w:hAnsi="Times New Roman"/>
          <w:caps w:val="false"/>
          <w:smallCaps w:val="false"/>
          <w:sz w:val="20"/>
        </w:rPr>
      </w:pPr>
      <w:r>
        <w:rPr>
          <w:rFonts w:ascii="Times New Roman" w:hAnsi="Times New Roman"/>
          <w:caps w:val="false"/>
          <w:smallCaps w:val="false"/>
          <w:sz w:val="20"/>
        </w:rPr>
        <w:t>All other reports and other documents subsequently filed with the SEC by the Registrant pursuant to Sections 13(a), 13(c), 14 and 15(d) of Exchange Act prior to the filing of a post-effective amendment to this registration statement which indicates that all securities offered have been sold or which deregisters all securities then remaining unsold (other than those furnished pursuant to Item 2.02 or Item 7.01 of Form 8-K or other information deemed to have been “furnished” rather than “filed” in accordance with the SEC’s rules), shall be deemed to be incorporated by reference in this Registration Statement and to be part hereof from the date of filing of such reports and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20"/>
        <w:jc w:val="both"/>
        <w:rPr>
          <w:rFonts w:ascii="Times New Roman" w:hAnsi="Times New Roman"/>
          <w:caps w:val="false"/>
          <w:smallCaps w:val="false"/>
          <w:sz w:val="20"/>
        </w:rPr>
      </w:pPr>
      <w:r>
        <w:rPr>
          <w:rFonts w:ascii="Times New Roman" w:hAnsi="Times New Roman"/>
          <w:caps w:val="false"/>
          <w:smallCaps w:val="false"/>
          <w:sz w:val="20"/>
        </w:rPr>
        <w:t>Any statement contained in a document incorporated or deemed to be incorporated by reference in this Registration Statement shall be deemed to be modified or superseded for purposes of this Registration Statement to the extent that a statement contained in this Registration Statement, or in any other subsequently filed document that also is or is deemed to be incorporated by reference in this Registration Statement, modifies or supersedes such prior statement. Any statement contained in this Registration Statement shall be deemed to be modified or superseded to the extent that a statement contained in a subsequently filed document that is or is deemed to be incorporated by reference in this Registration Statement modifies or supersedes such prior statement. Any statement so modified or superseded shall not be deemed, except as so modified or superseded, to constitute a part of this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 8.</w:t>
      </w:r>
      <w:r>
        <w:rPr>
          <w:rFonts w:ascii="Times New Roman" w:hAnsi="Times New Roman"/>
          <w:caps w:val="false"/>
          <w:smallCaps w:val="false"/>
          <w:sz w:val="20"/>
        </w:rPr>
        <w:t>         </w:t>
      </w:r>
      <w:r>
        <w:rPr>
          <w:rFonts w:ascii="Times New Roman" w:hAnsi="Times New Roman"/>
          <w:b/>
          <w:caps w:val="false"/>
          <w:smallCaps w:val="false"/>
          <w:sz w:val="20"/>
        </w:rPr>
        <w:t>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A list of exhibits filed herewith is contained in the Exhibit Index that immediately precedes such exhibits and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59"/>
        <w:gridCol w:w="60"/>
        <w:gridCol w:w="9386"/>
      </w:tblGrid>
      <w:tr>
        <w:trPr/>
        <w:tc>
          <w:tcPr>
            <w:tcW w:w="759" w:type="dxa"/>
            <w:tcBorders>
              <w:bottom w:val="single" w:sz="2" w:space="0" w:color="000000"/>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9386" w:type="dxa"/>
            <w:tcBorders>
              <w:bottom w:val="single" w:sz="2" w:space="0" w:color="000000"/>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Document </w:t>
            </w:r>
          </w:p>
        </w:tc>
      </w:tr>
      <w:tr>
        <w:trPr/>
        <w:tc>
          <w:tcPr>
            <w:tcW w:w="759"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4.1</w:t>
            </w:r>
          </w:p>
        </w:tc>
        <w:tc>
          <w:tcPr>
            <w:tcW w:w="60" w:type="dxa"/>
            <w:tcBorders/>
            <w:tcMar>
              <w:bottom w:w="0" w:type="dxa"/>
            </w:tcMar>
            <w:vAlign w:val="center"/>
          </w:tcPr>
          <w:p>
            <w:pPr>
              <w:pStyle w:val="TableContents"/>
              <w:bidi w:val="0"/>
              <w:spacing w:before="0" w:after="283"/>
              <w:jc w:val="left"/>
              <w:rPr/>
            </w:pPr>
            <w:r>
              <w:rPr/>
              <w:t> </w:t>
            </w:r>
          </w:p>
        </w:tc>
        <w:tc>
          <w:tcPr>
            <w:tcW w:w="9386" w:type="dxa"/>
            <w:tcBorders/>
            <w:tcMar>
              <w:bottom w:w="0" w:type="dxa"/>
            </w:tcMar>
            <w:vAlign w:val="center"/>
          </w:tcPr>
          <w:p>
            <w:pPr>
              <w:pStyle w:val="TableContents"/>
              <w:bidi w:val="0"/>
              <w:spacing w:before="0" w:after="0"/>
              <w:ind w:left="0" w:right="0" w:hanging="0"/>
              <w:jc w:val="left"/>
              <w:rPr/>
            </w:pPr>
            <w:hyperlink r:id="rId14">
              <w:r>
                <w:rPr>
                  <w:rStyle w:val="InternetLink"/>
                  <w:rFonts w:ascii="Times New Roman" w:hAnsi="Times New Roman"/>
                  <w:caps w:val="false"/>
                  <w:smallCaps w:val="false"/>
                  <w:sz w:val="20"/>
                  <w:u w:val="single"/>
                </w:rPr>
                <w:t>Third Amended and Restated Certificate of Incorporation of SeaStar Medical Holding Corporation, filed with the Secretary of State of Delaware</w:t>
              </w:r>
            </w:hyperlink>
            <w:hyperlink r:id="rId15">
              <w:r>
                <w:rPr>
                  <w:rStyle w:val="InternetLink"/>
                  <w:rFonts w:ascii="Times New Roman" w:hAnsi="Times New Roman"/>
                  <w:caps w:val="false"/>
                  <w:smallCaps w:val="false"/>
                  <w:sz w:val="20"/>
                  <w:u w:val="single"/>
                </w:rPr>
                <w:t> </w:t>
              </w:r>
            </w:hyperlink>
            <w:hyperlink r:id="rId16">
              <w:r>
                <w:rPr>
                  <w:rStyle w:val="InternetLink"/>
                  <w:rFonts w:ascii="Times New Roman" w:hAnsi="Times New Roman"/>
                  <w:caps w:val="false"/>
                  <w:smallCaps w:val="false"/>
                  <w:sz w:val="20"/>
                  <w:u w:val="single"/>
                </w:rPr>
                <w:t>on October 28, 2022 (incorporated by reference to Exhibit 3.1 to the Registrant</w:t>
              </w:r>
            </w:hyperlink>
            <w:hyperlink r:id="rId17">
              <w:r>
                <w:rPr>
                  <w:rStyle w:val="InternetLink"/>
                  <w:rFonts w:ascii="Times New Roman" w:hAnsi="Times New Roman"/>
                  <w:caps w:val="false"/>
                  <w:smallCaps w:val="false"/>
                  <w:sz w:val="20"/>
                  <w:u w:val="single"/>
                </w:rPr>
                <w:t xml:space="preserve">’s Current Report on Form 8-K filed with the SEC on November 4, </w:t>
              </w:r>
            </w:hyperlink>
            <w:hyperlink r:id="rId18">
              <w:r>
                <w:rPr>
                  <w:rStyle w:val="InternetLink"/>
                  <w:rFonts w:ascii="Times New Roman" w:hAnsi="Times New Roman"/>
                  <w:caps w:val="false"/>
                  <w:smallCaps w:val="false"/>
                  <w:sz w:val="20"/>
                  <w:u w:val="single"/>
                </w:rPr>
                <w:t>2022).</w:t>
              </w:r>
            </w:hyperlink>
            <w:r>
              <w:rPr>
                <w:rFonts w:ascii="Times New Roman" w:hAnsi="Times New Roman"/>
                <w:caps w:val="false"/>
                <w:smallCaps w:val="false"/>
                <w:sz w:val="20"/>
              </w:rPr>
              <w:t xml:space="preserve"> </w:t>
            </w:r>
          </w:p>
        </w:tc>
      </w:tr>
      <w:tr>
        <w:trPr/>
        <w:tc>
          <w:tcPr>
            <w:tcW w:w="759"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4.2</w:t>
            </w:r>
          </w:p>
        </w:tc>
        <w:tc>
          <w:tcPr>
            <w:tcW w:w="60" w:type="dxa"/>
            <w:tcBorders/>
            <w:tcMar>
              <w:bottom w:w="0" w:type="dxa"/>
            </w:tcMar>
            <w:vAlign w:val="center"/>
          </w:tcPr>
          <w:p>
            <w:pPr>
              <w:pStyle w:val="TableContents"/>
              <w:bidi w:val="0"/>
              <w:spacing w:before="0" w:after="283"/>
              <w:jc w:val="left"/>
              <w:rPr/>
            </w:pPr>
            <w:r>
              <w:rPr/>
              <w:t> </w:t>
            </w:r>
          </w:p>
        </w:tc>
        <w:tc>
          <w:tcPr>
            <w:tcW w:w="9386" w:type="dxa"/>
            <w:tcBorders/>
            <w:tcMar>
              <w:bottom w:w="0" w:type="dxa"/>
            </w:tcMar>
            <w:vAlign w:val="center"/>
          </w:tcPr>
          <w:p>
            <w:pPr>
              <w:pStyle w:val="TableContents"/>
              <w:bidi w:val="0"/>
              <w:spacing w:before="0" w:after="0"/>
              <w:ind w:left="0" w:right="0" w:hanging="0"/>
              <w:jc w:val="left"/>
              <w:rPr/>
            </w:pPr>
            <w:hyperlink r:id="rId19">
              <w:r>
                <w:rPr>
                  <w:rStyle w:val="InternetLink"/>
                  <w:rFonts w:ascii="Times New Roman" w:hAnsi="Times New Roman"/>
                  <w:caps w:val="false"/>
                  <w:smallCaps w:val="false"/>
                  <w:sz w:val="20"/>
                  <w:u w:val="single"/>
                </w:rPr>
                <w:t>Certificate of Amendment to the Third Amended and Restated Certificate of Incorporation of SeaStar Medical Holding Corporation (incorporated by reference to Exhibit 3.1 to the Registrant’s Current Report on Form 8-K filed with the SEC on September 20, 2023).</w:t>
              </w:r>
            </w:hyperlink>
          </w:p>
        </w:tc>
      </w:tr>
      <w:tr>
        <w:trPr/>
        <w:tc>
          <w:tcPr>
            <w:tcW w:w="759"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4.3</w:t>
            </w:r>
          </w:p>
        </w:tc>
        <w:tc>
          <w:tcPr>
            <w:tcW w:w="60" w:type="dxa"/>
            <w:tcBorders/>
            <w:tcMar>
              <w:bottom w:w="0" w:type="dxa"/>
            </w:tcMar>
            <w:vAlign w:val="center"/>
          </w:tcPr>
          <w:p>
            <w:pPr>
              <w:pStyle w:val="TableContents"/>
              <w:bidi w:val="0"/>
              <w:spacing w:before="0" w:after="283"/>
              <w:jc w:val="left"/>
              <w:rPr/>
            </w:pPr>
            <w:r>
              <w:rPr/>
              <w:t> </w:t>
            </w:r>
          </w:p>
        </w:tc>
        <w:tc>
          <w:tcPr>
            <w:tcW w:w="9386" w:type="dxa"/>
            <w:tcBorders/>
            <w:tcMar>
              <w:bottom w:w="0" w:type="dxa"/>
            </w:tcMar>
            <w:vAlign w:val="center"/>
          </w:tcPr>
          <w:p>
            <w:pPr>
              <w:pStyle w:val="TableContents"/>
              <w:bidi w:val="0"/>
              <w:spacing w:before="0" w:after="0"/>
              <w:ind w:left="0" w:right="0" w:hanging="0"/>
              <w:jc w:val="left"/>
              <w:rPr/>
            </w:pPr>
            <w:hyperlink r:id="rId20">
              <w:r>
                <w:rPr>
                  <w:rStyle w:val="InternetLink"/>
                  <w:rFonts w:ascii="Times New Roman" w:hAnsi="Times New Roman"/>
                  <w:caps w:val="false"/>
                  <w:smallCaps w:val="false"/>
                  <w:sz w:val="20"/>
                  <w:u w:val="single"/>
                </w:rPr>
                <w:t>Second Certificate of Amendment of Third Amended and Restated Certificate of Incorporation of SeaStar Medical Holding Corporation (incorporated by reference to Exhibit 3.1 to the Registrant’s Current Report on Form 8-K filed with the SEC on June 7, 2024).</w:t>
              </w:r>
            </w:hyperlink>
          </w:p>
        </w:tc>
      </w:tr>
      <w:tr>
        <w:trPr/>
        <w:tc>
          <w:tcPr>
            <w:tcW w:w="759"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4.4</w:t>
            </w:r>
          </w:p>
        </w:tc>
        <w:tc>
          <w:tcPr>
            <w:tcW w:w="60" w:type="dxa"/>
            <w:tcBorders/>
            <w:tcMar>
              <w:bottom w:w="0" w:type="dxa"/>
            </w:tcMar>
            <w:vAlign w:val="center"/>
          </w:tcPr>
          <w:p>
            <w:pPr>
              <w:pStyle w:val="TableContents"/>
              <w:bidi w:val="0"/>
              <w:spacing w:before="0" w:after="283"/>
              <w:jc w:val="left"/>
              <w:rPr/>
            </w:pPr>
            <w:r>
              <w:rPr/>
              <w:t> </w:t>
            </w:r>
          </w:p>
        </w:tc>
        <w:tc>
          <w:tcPr>
            <w:tcW w:w="9386" w:type="dxa"/>
            <w:tcBorders/>
            <w:tcMar>
              <w:bottom w:w="0" w:type="dxa"/>
            </w:tcMar>
            <w:vAlign w:val="center"/>
          </w:tcPr>
          <w:p>
            <w:pPr>
              <w:pStyle w:val="TableContents"/>
              <w:bidi w:val="0"/>
              <w:spacing w:before="0" w:after="0"/>
              <w:ind w:left="0" w:right="0" w:hanging="0"/>
              <w:jc w:val="left"/>
              <w:rPr/>
            </w:pPr>
            <w:hyperlink r:id="rId21">
              <w:r>
                <w:rPr>
                  <w:rStyle w:val="InternetLink"/>
                  <w:rFonts w:ascii="Times New Roman" w:hAnsi="Times New Roman"/>
                  <w:caps w:val="false"/>
                  <w:smallCaps w:val="false"/>
                  <w:sz w:val="20"/>
                  <w:u w:val="single"/>
                </w:rPr>
                <w:t>Third Certificate of Amendment to the Third Amended and Restated Certificate of Incorporation of SeaStar Medical Holding Corporation (incorporated by reference to Exhibit 3.4 to the Registrant’s Annual Report on Form 10-K filed with the SEC on March 27, 2025).</w:t>
              </w:r>
            </w:hyperlink>
          </w:p>
        </w:tc>
      </w:tr>
      <w:tr>
        <w:trPr/>
        <w:tc>
          <w:tcPr>
            <w:tcW w:w="759"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4.5</w:t>
            </w:r>
          </w:p>
        </w:tc>
        <w:tc>
          <w:tcPr>
            <w:tcW w:w="60" w:type="dxa"/>
            <w:tcBorders/>
            <w:tcMar>
              <w:bottom w:w="0" w:type="dxa"/>
            </w:tcMar>
            <w:vAlign w:val="center"/>
          </w:tcPr>
          <w:p>
            <w:pPr>
              <w:pStyle w:val="TableContents"/>
              <w:bidi w:val="0"/>
              <w:spacing w:before="0" w:after="283"/>
              <w:jc w:val="left"/>
              <w:rPr/>
            </w:pPr>
            <w:r>
              <w:rPr/>
              <w:t> </w:t>
            </w:r>
          </w:p>
        </w:tc>
        <w:tc>
          <w:tcPr>
            <w:tcW w:w="9386" w:type="dxa"/>
            <w:tcBorders/>
            <w:tcMar>
              <w:bottom w:w="0" w:type="dxa"/>
            </w:tcMar>
            <w:vAlign w:val="center"/>
          </w:tcPr>
          <w:p>
            <w:pPr>
              <w:pStyle w:val="TableContents"/>
              <w:bidi w:val="0"/>
              <w:spacing w:before="0" w:after="0"/>
              <w:ind w:left="0" w:right="0" w:hanging="0"/>
              <w:jc w:val="left"/>
              <w:rPr/>
            </w:pPr>
            <w:hyperlink r:id="rId22">
              <w:r>
                <w:rPr>
                  <w:rStyle w:val="InternetLink"/>
                  <w:rFonts w:ascii="Times New Roman" w:hAnsi="Times New Roman"/>
                  <w:caps w:val="false"/>
                  <w:smallCaps w:val="false"/>
                  <w:sz w:val="20"/>
                  <w:u w:val="single"/>
                </w:rPr>
                <w:t>Second Amended and Restated Bylaws of SeaStar Medical Holding Corporation (incorporated by reference to Exhibit 3.1 to the Registrant’s Current Report on Form 8-K filed with the SEC on April 18, 2024).</w:t>
              </w:r>
            </w:hyperlink>
          </w:p>
        </w:tc>
      </w:tr>
      <w:tr>
        <w:trPr/>
        <w:tc>
          <w:tcPr>
            <w:tcW w:w="759"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5.1*</w:t>
            </w:r>
          </w:p>
        </w:tc>
        <w:tc>
          <w:tcPr>
            <w:tcW w:w="60" w:type="dxa"/>
            <w:tcBorders/>
            <w:tcMar>
              <w:bottom w:w="0" w:type="dxa"/>
            </w:tcMar>
            <w:vAlign w:val="center"/>
          </w:tcPr>
          <w:p>
            <w:pPr>
              <w:pStyle w:val="TableContents"/>
              <w:bidi w:val="0"/>
              <w:spacing w:before="0" w:after="283"/>
              <w:jc w:val="left"/>
              <w:rPr/>
            </w:pPr>
            <w:r>
              <w:rPr/>
              <w:t> </w:t>
            </w:r>
          </w:p>
        </w:tc>
        <w:tc>
          <w:tcPr>
            <w:tcW w:w="9386" w:type="dxa"/>
            <w:tcBorders/>
            <w:tcMar>
              <w:bottom w:w="0" w:type="dxa"/>
            </w:tcMar>
            <w:vAlign w:val="center"/>
          </w:tcPr>
          <w:p>
            <w:pPr>
              <w:pStyle w:val="TableContents"/>
              <w:bidi w:val="0"/>
              <w:spacing w:before="0" w:after="0"/>
              <w:ind w:left="0" w:right="0" w:hanging="0"/>
              <w:jc w:val="left"/>
              <w:rPr/>
            </w:pPr>
            <w:hyperlink w:anchor="ex_986477.htm">
              <w:r>
                <w:rPr>
                  <w:rStyle w:val="InternetLink"/>
                  <w:rFonts w:ascii="Times New Roman" w:hAnsi="Times New Roman"/>
                  <w:caps w:val="false"/>
                  <w:smallCaps w:val="false"/>
                  <w:sz w:val="20"/>
                </w:rPr>
                <w:t>Opinion of Dorsey &amp; Whitney LLP.</w:t>
              </w:r>
            </w:hyperlink>
          </w:p>
        </w:tc>
      </w:tr>
      <w:tr>
        <w:trPr/>
        <w:tc>
          <w:tcPr>
            <w:tcW w:w="759"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23.1*</w:t>
            </w:r>
          </w:p>
        </w:tc>
        <w:tc>
          <w:tcPr>
            <w:tcW w:w="60" w:type="dxa"/>
            <w:tcBorders/>
            <w:tcMar>
              <w:bottom w:w="0" w:type="dxa"/>
            </w:tcMar>
            <w:vAlign w:val="center"/>
          </w:tcPr>
          <w:p>
            <w:pPr>
              <w:pStyle w:val="TableContents"/>
              <w:bidi w:val="0"/>
              <w:spacing w:before="0" w:after="283"/>
              <w:jc w:val="left"/>
              <w:rPr/>
            </w:pPr>
            <w:r>
              <w:rPr/>
              <w:t> </w:t>
            </w:r>
          </w:p>
        </w:tc>
        <w:tc>
          <w:tcPr>
            <w:tcW w:w="9386" w:type="dxa"/>
            <w:tcBorders/>
            <w:tcMar>
              <w:bottom w:w="0" w:type="dxa"/>
            </w:tcMar>
            <w:vAlign w:val="center"/>
          </w:tcPr>
          <w:p>
            <w:pPr>
              <w:pStyle w:val="TableContents"/>
              <w:bidi w:val="0"/>
              <w:spacing w:before="0" w:after="0"/>
              <w:ind w:left="0" w:right="0" w:hanging="0"/>
              <w:jc w:val="left"/>
              <w:rPr/>
            </w:pPr>
            <w:hyperlink w:anchor="ex_986478.htm">
              <w:r>
                <w:rPr>
                  <w:rStyle w:val="InternetLink"/>
                  <w:rFonts w:ascii="Times New Roman" w:hAnsi="Times New Roman"/>
                  <w:caps w:val="false"/>
                  <w:smallCaps w:val="false"/>
                  <w:sz w:val="20"/>
                </w:rPr>
                <w:t>Consent of Independent Registered Public Accounting Firm of SeaStar Medical Holding Corporation.</w:t>
              </w:r>
            </w:hyperlink>
          </w:p>
        </w:tc>
      </w:tr>
      <w:tr>
        <w:trPr/>
        <w:tc>
          <w:tcPr>
            <w:tcW w:w="759"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23.2</w:t>
            </w:r>
          </w:p>
        </w:tc>
        <w:tc>
          <w:tcPr>
            <w:tcW w:w="60" w:type="dxa"/>
            <w:tcBorders/>
            <w:tcMar>
              <w:bottom w:w="0" w:type="dxa"/>
            </w:tcMar>
            <w:vAlign w:val="center"/>
          </w:tcPr>
          <w:p>
            <w:pPr>
              <w:pStyle w:val="TableContents"/>
              <w:bidi w:val="0"/>
              <w:spacing w:before="0" w:after="283"/>
              <w:jc w:val="left"/>
              <w:rPr/>
            </w:pPr>
            <w:r>
              <w:rPr/>
              <w:t> </w:t>
            </w:r>
          </w:p>
        </w:tc>
        <w:tc>
          <w:tcPr>
            <w:tcW w:w="9386" w:type="dxa"/>
            <w:tcBorders/>
            <w:tcMar>
              <w:bottom w:w="0" w:type="dxa"/>
            </w:tcMar>
            <w:vAlign w:val="center"/>
          </w:tcPr>
          <w:p>
            <w:pPr>
              <w:pStyle w:val="TableContents"/>
              <w:bidi w:val="0"/>
              <w:spacing w:before="0" w:after="0"/>
              <w:ind w:left="0" w:right="0" w:hanging="0"/>
              <w:jc w:val="left"/>
              <w:rPr/>
            </w:pPr>
            <w:hyperlink w:anchor="ex_986477.htm">
              <w:r>
                <w:rPr>
                  <w:rStyle w:val="InternetLink"/>
                  <w:rFonts w:ascii="Times New Roman" w:hAnsi="Times New Roman"/>
                  <w:caps w:val="false"/>
                  <w:smallCaps w:val="false"/>
                  <w:sz w:val="20"/>
                </w:rPr>
                <w:t>Consent of Dorsey &amp; Whitney LLP (included in Exhibit 5.1 hereto).</w:t>
              </w:r>
            </w:hyperlink>
          </w:p>
        </w:tc>
      </w:tr>
      <w:tr>
        <w:trPr/>
        <w:tc>
          <w:tcPr>
            <w:tcW w:w="759"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24.1</w:t>
            </w:r>
          </w:p>
        </w:tc>
        <w:tc>
          <w:tcPr>
            <w:tcW w:w="60" w:type="dxa"/>
            <w:tcBorders/>
            <w:tcMar>
              <w:bottom w:w="0" w:type="dxa"/>
            </w:tcMar>
            <w:vAlign w:val="center"/>
          </w:tcPr>
          <w:p>
            <w:pPr>
              <w:pStyle w:val="TableContents"/>
              <w:bidi w:val="0"/>
              <w:spacing w:before="0" w:after="283"/>
              <w:jc w:val="left"/>
              <w:rPr/>
            </w:pPr>
            <w:r>
              <w:rPr/>
              <w:t> </w:t>
            </w:r>
          </w:p>
        </w:tc>
        <w:tc>
          <w:tcPr>
            <w:tcW w:w="9386" w:type="dxa"/>
            <w:tcBorders/>
            <w:tcMar>
              <w:bottom w:w="0" w:type="dxa"/>
            </w:tcMar>
            <w:vAlign w:val="center"/>
          </w:tcPr>
          <w:p>
            <w:pPr>
              <w:pStyle w:val="TableContents"/>
              <w:bidi w:val="0"/>
              <w:spacing w:before="0" w:after="0"/>
              <w:ind w:left="0" w:right="0" w:hanging="0"/>
              <w:jc w:val="left"/>
              <w:rPr/>
            </w:pPr>
            <w:hyperlink w:anchor="poa">
              <w:r>
                <w:rPr>
                  <w:rStyle w:val="InternetLink"/>
                  <w:rFonts w:ascii="Times New Roman" w:hAnsi="Times New Roman"/>
                  <w:caps w:val="false"/>
                  <w:smallCaps w:val="false"/>
                  <w:sz w:val="20"/>
                  <w:u w:val="single"/>
                </w:rPr>
                <w:t>Power of Attorney (included in the signature page to this Registration Statement).</w:t>
              </w:r>
            </w:hyperlink>
          </w:p>
        </w:tc>
      </w:tr>
      <w:tr>
        <w:trPr/>
        <w:tc>
          <w:tcPr>
            <w:tcW w:w="759"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99.1*+</w:t>
            </w:r>
          </w:p>
        </w:tc>
        <w:tc>
          <w:tcPr>
            <w:tcW w:w="60" w:type="dxa"/>
            <w:tcBorders/>
            <w:tcMar>
              <w:bottom w:w="0" w:type="dxa"/>
            </w:tcMar>
            <w:vAlign w:val="center"/>
          </w:tcPr>
          <w:p>
            <w:pPr>
              <w:pStyle w:val="TableContents"/>
              <w:bidi w:val="0"/>
              <w:spacing w:before="0" w:after="283"/>
              <w:jc w:val="left"/>
              <w:rPr/>
            </w:pPr>
            <w:r>
              <w:rPr/>
              <w:t> </w:t>
            </w:r>
          </w:p>
        </w:tc>
        <w:tc>
          <w:tcPr>
            <w:tcW w:w="9386" w:type="dxa"/>
            <w:tcBorders/>
            <w:tcMar>
              <w:bottom w:w="0" w:type="dxa"/>
            </w:tcMar>
            <w:vAlign w:val="center"/>
          </w:tcPr>
          <w:p>
            <w:pPr>
              <w:pStyle w:val="TableContents"/>
              <w:bidi w:val="0"/>
              <w:spacing w:before="0" w:after="0"/>
              <w:ind w:left="0" w:right="0" w:hanging="0"/>
              <w:jc w:val="left"/>
              <w:rPr/>
            </w:pPr>
            <w:hyperlink r:id="rId23">
              <w:r>
                <w:rPr>
                  <w:rStyle w:val="InternetLink"/>
                  <w:rFonts w:ascii="Times New Roman" w:hAnsi="Times New Roman"/>
                  <w:caps w:val="false"/>
                  <w:smallCaps w:val="false"/>
                  <w:sz w:val="20"/>
                  <w:u w:val="single"/>
                </w:rPr>
                <w:t>Amended and Restated SeaStar Medical Holding Corporation 2022 Omnibus Incentive Plan (incorporated by reference to Exhibit 10.1 to the Registrant’s Current Report on Form 8-K filed with the SEC on June 17, 2026).</w:t>
              </w:r>
            </w:hyperlink>
            <w:hyperlink r:id="rId24">
              <w:r>
                <w:rPr>
                  <w:rStyle w:val="InternetLink"/>
                  <w:rFonts w:ascii="Times New Roman" w:hAnsi="Times New Roman"/>
                  <w:caps w:val="false"/>
                  <w:smallCaps w:val="false"/>
                  <w:sz w:val="20"/>
                </w:rPr>
                <w:t> </w:t>
              </w:r>
            </w:hyperlink>
          </w:p>
        </w:tc>
      </w:tr>
      <w:tr>
        <w:trPr/>
        <w:tc>
          <w:tcPr>
            <w:tcW w:w="759"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107*</w:t>
            </w:r>
          </w:p>
        </w:tc>
        <w:tc>
          <w:tcPr>
            <w:tcW w:w="60" w:type="dxa"/>
            <w:tcBorders/>
            <w:tcMar>
              <w:bottom w:w="0" w:type="dxa"/>
            </w:tcMar>
            <w:vAlign w:val="center"/>
          </w:tcPr>
          <w:p>
            <w:pPr>
              <w:pStyle w:val="TableContents"/>
              <w:bidi w:val="0"/>
              <w:spacing w:before="0" w:after="283"/>
              <w:jc w:val="left"/>
              <w:rPr/>
            </w:pPr>
            <w:r>
              <w:rPr/>
              <w:t> </w:t>
            </w:r>
          </w:p>
        </w:tc>
        <w:tc>
          <w:tcPr>
            <w:tcW w:w="9386" w:type="dxa"/>
            <w:tcBorders/>
            <w:tcMar>
              <w:bottom w:w="0" w:type="dxa"/>
            </w:tcMar>
            <w:vAlign w:val="center"/>
          </w:tcPr>
          <w:p>
            <w:pPr>
              <w:pStyle w:val="TableContents"/>
              <w:bidi w:val="0"/>
              <w:spacing w:before="0" w:after="0"/>
              <w:ind w:left="0" w:right="0" w:hanging="0"/>
              <w:jc w:val="left"/>
              <w:rPr/>
            </w:pPr>
            <w:hyperlink w:anchor="ex_986556.htm">
              <w:r>
                <w:rPr>
                  <w:rStyle w:val="InternetLink"/>
                  <w:rFonts w:ascii="Times New Roman" w:hAnsi="Times New Roman"/>
                  <w:caps w:val="false"/>
                  <w:smallCaps w:val="false"/>
                  <w:sz w:val="20"/>
                </w:rPr>
                <w:t>Filing Fee Table</w:t>
              </w:r>
            </w:hyperlink>
          </w:p>
        </w:tc>
      </w:tr>
    </w:tbl>
    <w:p>
      <w:pPr>
        <w:pStyle w:val="TextBody"/>
        <w:bidi w:val="0"/>
        <w:spacing w:before="0" w:after="0"/>
        <w:ind w:left="0" w:right="0" w:hanging="0"/>
        <w:jc w:val="left"/>
        <w:rPr>
          <w:caps w:val="false"/>
          <w:smallCaps w:val="false"/>
        </w:rPr>
      </w:pPr>
      <w:r>
        <w:rPr>
          <w:caps w:val="false"/>
          <w:smallCaps w:val="false"/>
        </w:rPr>
        <w:t> </w:t>
      </w:r>
    </w:p>
    <w:tbl>
      <w:tblPr>
        <w:tblW w:w="3730" w:type="dxa"/>
        <w:jc w:val="left"/>
        <w:tblInd w:w="0" w:type="dxa"/>
        <w:tblLayout w:type="fixed"/>
        <w:tblCellMar>
          <w:top w:w="0" w:type="dxa"/>
          <w:left w:w="0" w:type="dxa"/>
          <w:bottom w:w="0" w:type="dxa"/>
          <w:right w:w="0" w:type="dxa"/>
        </w:tblCellMar>
      </w:tblPr>
      <w:tblGrid>
        <w:gridCol w:w="60"/>
        <w:gridCol w:w="140"/>
        <w:gridCol w:w="3530"/>
      </w:tblGrid>
      <w:tr>
        <w:trPr/>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3530" w:type="dxa"/>
            <w:tcBorders/>
            <w:vAlign w:val="center"/>
          </w:tcPr>
          <w:p>
            <w:pPr>
              <w:pStyle w:val="TableContents"/>
              <w:bidi w:val="0"/>
              <w:spacing w:before="0" w:after="283"/>
              <w:jc w:val="left"/>
              <w:rPr/>
            </w:pPr>
            <w:r>
              <w:rPr/>
              <w:t>Filed herewith</w:t>
            </w:r>
          </w:p>
        </w:tc>
      </w:tr>
      <w:tr>
        <w:trPr/>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35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Denotes compensatory plan or arrangement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Denver, State of Colorado on this 21st</w:t>
      </w:r>
      <w:r>
        <w:rPr>
          <w:rFonts w:ascii="Times New Roman" w:hAnsi="Times New Roman"/>
          <w:caps w:val="false"/>
          <w:smallCaps w:val="false"/>
          <w:sz w:val="20"/>
          <w:shd w:fill="FFFFFF" w:val="clear"/>
        </w:rPr>
        <w:t> day of July,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SeaStar Medical Holding Corporation</w:t>
      </w:r>
    </w:p>
    <w:p>
      <w:pPr>
        <w:pStyle w:val="TextBody"/>
        <w:bidi w:val="0"/>
        <w:spacing w:before="0" w:after="0"/>
        <w:ind w:left="0" w:right="0" w:hanging="0"/>
        <w:jc w:val="left"/>
        <w:rPr>
          <w:caps w:val="false"/>
          <w:smallCaps w:val="false"/>
        </w:rPr>
      </w:pPr>
      <w:r>
        <w:rPr>
          <w:caps w:val="false"/>
          <w:smallCaps w:val="false"/>
        </w:rPr>
        <w:t> </w:t>
      </w:r>
    </w:p>
    <w:tbl>
      <w:tblPr>
        <w:tblW w:w="2485" w:type="dxa"/>
        <w:jc w:val="left"/>
        <w:tblInd w:w="0" w:type="dxa"/>
        <w:tblLayout w:type="fixed"/>
        <w:tblCellMar>
          <w:top w:w="0" w:type="dxa"/>
          <w:left w:w="0" w:type="dxa"/>
          <w:bottom w:w="0" w:type="dxa"/>
          <w:right w:w="0" w:type="dxa"/>
        </w:tblCellMar>
      </w:tblPr>
      <w:tblGrid>
        <w:gridCol w:w="545"/>
        <w:gridCol w:w="1940"/>
      </w:tblGrid>
      <w:tr>
        <w:trPr/>
        <w:tc>
          <w:tcPr>
            <w:tcW w:w="5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194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Eric Schlorff</w:t>
            </w:r>
          </w:p>
        </w:tc>
      </w:tr>
      <w:tr>
        <w:trPr/>
        <w:tc>
          <w:tcPr>
            <w:tcW w:w="5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Name:</w:t>
            </w:r>
          </w:p>
        </w:tc>
        <w:tc>
          <w:tcPr>
            <w:tcW w:w="19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Eric Schlorff</w:t>
            </w:r>
          </w:p>
        </w:tc>
      </w:tr>
      <w:tr>
        <w:trPr/>
        <w:tc>
          <w:tcPr>
            <w:tcW w:w="5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Title:</w:t>
            </w:r>
          </w:p>
        </w:tc>
        <w:tc>
          <w:tcPr>
            <w:tcW w:w="19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bookmarkStart w:id="2" w:name="poa"/>
      <w:bookmarkEnd w:id="2"/>
      <w:r>
        <w:rPr>
          <w:rFonts w:ascii="Times New Roman" w:hAnsi="Times New Roman"/>
          <w:b/>
          <w:caps w:val="false"/>
          <w:smallCaps w:val="false"/>
          <w:sz w:val="20"/>
        </w:rPr>
        <w:t>POWER OF ATTORNEY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Each of the undersigned, whose signature appears below, hereby constitutes and appoints Eric Schlorff as his or her true and lawful attorney-in-fact and agent, with full power of substitution and resubstitution, for him or her and in his or her name, place and stead, in any and all capacities, to sign any or all amendments to this registration statement and to file the same with all exhibits thereto and other documents in connection therewith, with the SEC, granting unto said attorneys-in-fact and agents full power and authority to do and perform each and every act and thing necessary or appropriate to be done with respect to this registration statement or any amendments hereto in the premises, as fully to all intents and purposes as he or she might or could do in person, hereby ratifying and confirming all that said attorneys-in-fact and agents, or any of them, or his or their substitute or substitutes, may lawfully do or cause to be done by virtue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Pursuant to the requirements of the Securities Act of 1933, as amended, this Registration Statement on Form S-8 has been signed by the following persons in the capacities indicated below on July 21, 2026.</w:t>
      </w:r>
    </w:p>
    <w:p>
      <w:pPr>
        <w:pStyle w:val="TextBody"/>
        <w:bidi w:val="0"/>
        <w:spacing w:before="0" w:after="0"/>
        <w:ind w:left="0" w:right="0" w:hanging="0"/>
        <w:jc w:val="left"/>
        <w:rPr>
          <w:caps w:val="false"/>
          <w:smallCaps w:val="false"/>
        </w:rPr>
      </w:pPr>
      <w:r>
        <w:rPr>
          <w:caps w:val="false"/>
          <w:smallCaps w:val="false"/>
        </w:rPr>
        <w:t> </w:t>
      </w:r>
    </w:p>
    <w:tbl>
      <w:tblPr>
        <w:tblW w:w="6540" w:type="dxa"/>
        <w:jc w:val="left"/>
        <w:tblInd w:w="0" w:type="dxa"/>
        <w:tblLayout w:type="fixed"/>
        <w:tblCellMar>
          <w:top w:w="0" w:type="dxa"/>
          <w:left w:w="0" w:type="dxa"/>
          <w:bottom w:w="28" w:type="dxa"/>
          <w:right w:w="0" w:type="dxa"/>
        </w:tblCellMar>
      </w:tblPr>
      <w:tblGrid>
        <w:gridCol w:w="2060"/>
        <w:gridCol w:w="60"/>
        <w:gridCol w:w="2990"/>
        <w:gridCol w:w="60"/>
        <w:gridCol w:w="1310"/>
        <w:gridCol w:w="60"/>
      </w:tblGrid>
      <w:tr>
        <w:trPr/>
        <w:tc>
          <w:tcPr>
            <w:tcW w:w="2060" w:type="dxa"/>
            <w:tcBorders>
              <w:bottom w:val="single" w:sz="2" w:space="0" w:color="000000"/>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Name</w:t>
            </w:r>
          </w:p>
        </w:tc>
        <w:tc>
          <w:tcPr>
            <w:tcW w:w="6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 </w:t>
            </w:r>
          </w:p>
        </w:tc>
        <w:tc>
          <w:tcPr>
            <w:tcW w:w="2990" w:type="dxa"/>
            <w:tcBorders>
              <w:bottom w:val="single" w:sz="2" w:space="0" w:color="000000"/>
            </w:tcBorders>
            <w:vAlign w:val="center"/>
          </w:tcPr>
          <w:p>
            <w:pPr>
              <w:pStyle w:val="TableContents"/>
              <w:bidi w:val="0"/>
              <w:spacing w:before="0" w:after="283"/>
              <w:jc w:val="center"/>
              <w:rPr>
                <w:b/>
              </w:rPr>
            </w:pPr>
            <w:r>
              <w:rPr>
                <w:b/>
              </w:rPr>
              <w:t>Title</w:t>
            </w:r>
          </w:p>
        </w:tc>
        <w:tc>
          <w:tcPr>
            <w:tcW w:w="60" w:type="dxa"/>
            <w:tcBorders/>
            <w:tcMar>
              <w:bottom w:w="0" w:type="dxa"/>
            </w:tcMar>
            <w:vAlign w:val="center"/>
          </w:tcPr>
          <w:p>
            <w:pPr>
              <w:pStyle w:val="TableContents"/>
              <w:bidi w:val="0"/>
              <w:spacing w:before="0" w:after="283"/>
              <w:jc w:val="left"/>
              <w:rPr/>
            </w:pPr>
            <w:r>
              <w:rPr/>
              <w:t> </w:t>
            </w:r>
          </w:p>
        </w:tc>
        <w:tc>
          <w:tcPr>
            <w:tcW w:w="1310" w:type="dxa"/>
            <w:tcBorders>
              <w:bottom w:val="single" w:sz="2" w:space="0" w:color="000000"/>
            </w:tcBorders>
            <w:vAlign w:val="center"/>
          </w:tcPr>
          <w:p>
            <w:pPr>
              <w:pStyle w:val="TableContents"/>
              <w:bidi w:val="0"/>
              <w:spacing w:before="0" w:after="0"/>
              <w:ind w:left="40" w:right="0" w:hanging="0"/>
              <w:jc w:val="center"/>
              <w:rPr>
                <w:rFonts w:ascii="Times New Roman" w:hAnsi="Times New Roman"/>
                <w:b/>
                <w:caps w:val="false"/>
                <w:smallCaps w:val="false"/>
                <w:sz w:val="20"/>
              </w:rPr>
            </w:pPr>
            <w:r>
              <w:rPr>
                <w:rFonts w:ascii="Times New Roman" w:hAnsi="Times New Roman"/>
                <w:b/>
                <w:caps w:val="false"/>
                <w:smallCaps w:val="false"/>
                <w:sz w:val="20"/>
              </w:rPr>
              <w:t>Date</w:t>
            </w:r>
          </w:p>
        </w:tc>
        <w:tc>
          <w:tcPr>
            <w:tcW w:w="60" w:type="dxa"/>
            <w:tcBorders/>
            <w:tcMar>
              <w:bottom w:w="0" w:type="dxa"/>
            </w:tcMar>
            <w:vAlign w:val="center"/>
          </w:tcPr>
          <w:p>
            <w:pPr>
              <w:pStyle w:val="TableContents"/>
              <w:bidi w:val="0"/>
              <w:spacing w:before="0" w:after="283"/>
              <w:jc w:val="left"/>
              <w:rPr/>
            </w:pPr>
            <w:r>
              <w:rPr/>
              <w:t> </w:t>
            </w:r>
          </w:p>
        </w:tc>
      </w:tr>
      <w:tr>
        <w:trPr/>
        <w:tc>
          <w:tcPr>
            <w:tcW w:w="20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9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r>
      <w:tr>
        <w:trPr/>
        <w:tc>
          <w:tcPr>
            <w:tcW w:w="2060"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Eric Schlorff</w:t>
            </w:r>
          </w:p>
        </w:tc>
        <w:tc>
          <w:tcPr>
            <w:tcW w:w="60" w:type="dxa"/>
            <w:tcBorders/>
            <w:tcMar>
              <w:bottom w:w="0" w:type="dxa"/>
            </w:tcMar>
            <w:vAlign w:val="center"/>
          </w:tcPr>
          <w:p>
            <w:pPr>
              <w:pStyle w:val="TableContents"/>
              <w:bidi w:val="0"/>
              <w:spacing w:before="0" w:after="283"/>
              <w:jc w:val="left"/>
              <w:rPr/>
            </w:pPr>
            <w:r>
              <w:rPr/>
              <w:t> </w:t>
            </w:r>
          </w:p>
        </w:tc>
        <w:tc>
          <w:tcPr>
            <w:tcW w:w="299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Chief Executive Officer and Director</w:t>
            </w:r>
          </w:p>
        </w:tc>
        <w:tc>
          <w:tcPr>
            <w:tcW w:w="60" w:type="dxa"/>
            <w:tcBorders/>
            <w:tcMar>
              <w:bottom w:w="0" w:type="dxa"/>
            </w:tcMar>
            <w:vAlign w:val="center"/>
          </w:tcPr>
          <w:p>
            <w:pPr>
              <w:pStyle w:val="TableContents"/>
              <w:bidi w:val="0"/>
              <w:spacing w:before="0" w:after="283"/>
              <w:jc w:val="left"/>
              <w:rPr/>
            </w:pPr>
            <w:r>
              <w:rPr/>
              <w:t> </w:t>
            </w:r>
          </w:p>
        </w:tc>
        <w:tc>
          <w:tcPr>
            <w:tcW w:w="1310" w:type="dxa"/>
            <w:tcBorders/>
            <w:tcMar>
              <w:bottom w:w="0" w:type="dxa"/>
            </w:tcMar>
            <w:vAlign w:val="center"/>
          </w:tcPr>
          <w:p>
            <w:pPr>
              <w:pStyle w:val="TableContents"/>
              <w:bidi w:val="0"/>
              <w:spacing w:before="0" w:after="0"/>
              <w:ind w:left="60" w:right="0" w:hanging="0"/>
              <w:jc w:val="center"/>
              <w:rPr>
                <w:rFonts w:ascii="Times New Roman" w:hAnsi="Times New Roman"/>
                <w:caps w:val="false"/>
                <w:smallCaps w:val="false"/>
                <w:sz w:val="20"/>
              </w:rPr>
            </w:pPr>
            <w:r>
              <w:rPr>
                <w:rFonts w:ascii="Times New Roman" w:hAnsi="Times New Roman"/>
                <w:caps w:val="false"/>
                <w:smallCaps w:val="false"/>
                <w:sz w:val="20"/>
              </w:rPr>
              <w:t>July 21, 2026</w:t>
            </w:r>
          </w:p>
        </w:tc>
        <w:tc>
          <w:tcPr>
            <w:tcW w:w="60" w:type="dxa"/>
            <w:tcBorders/>
            <w:tcMar>
              <w:bottom w:w="0" w:type="dxa"/>
            </w:tcMar>
            <w:vAlign w:val="center"/>
          </w:tcPr>
          <w:p>
            <w:pPr>
              <w:pStyle w:val="TableContents"/>
              <w:bidi w:val="0"/>
              <w:spacing w:before="0" w:after="283"/>
              <w:jc w:val="left"/>
              <w:rPr/>
            </w:pPr>
            <w:r>
              <w:rPr/>
              <w:t> </w:t>
            </w:r>
          </w:p>
        </w:tc>
      </w:tr>
      <w:tr>
        <w:trPr/>
        <w:tc>
          <w:tcPr>
            <w:tcW w:w="206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Eric Schlorff</w:t>
            </w:r>
          </w:p>
        </w:tc>
        <w:tc>
          <w:tcPr>
            <w:tcW w:w="60" w:type="dxa"/>
            <w:tcBorders/>
            <w:tcMar>
              <w:bottom w:w="0" w:type="dxa"/>
            </w:tcMar>
            <w:vAlign w:val="center"/>
          </w:tcPr>
          <w:p>
            <w:pPr>
              <w:pStyle w:val="TableContents"/>
              <w:bidi w:val="0"/>
              <w:spacing w:before="0" w:after="283"/>
              <w:jc w:val="left"/>
              <w:rPr/>
            </w:pPr>
            <w:r>
              <w:rPr/>
              <w:t> </w:t>
            </w:r>
          </w:p>
        </w:tc>
        <w:tc>
          <w:tcPr>
            <w:tcW w:w="299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(Principal Executive Officer)</w:t>
            </w:r>
          </w:p>
        </w:tc>
        <w:tc>
          <w:tcPr>
            <w:tcW w:w="60" w:type="dxa"/>
            <w:tcBorders/>
            <w:tcMar>
              <w:bottom w:w="0" w:type="dxa"/>
            </w:tcMar>
            <w:vAlign w:val="center"/>
          </w:tcPr>
          <w:p>
            <w:pPr>
              <w:pStyle w:val="TableContents"/>
              <w:bidi w:val="0"/>
              <w:spacing w:before="0" w:after="283"/>
              <w:jc w:val="left"/>
              <w:rPr/>
            </w:pPr>
            <w:r>
              <w:rPr/>
              <w:t> </w:t>
            </w:r>
          </w:p>
        </w:tc>
        <w:tc>
          <w:tcPr>
            <w:tcW w:w="13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r>
      <w:tr>
        <w:trPr/>
        <w:tc>
          <w:tcPr>
            <w:tcW w:w="20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9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r>
      <w:tr>
        <w:trPr/>
        <w:tc>
          <w:tcPr>
            <w:tcW w:w="2060"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Michael Messinger</w:t>
            </w:r>
          </w:p>
        </w:tc>
        <w:tc>
          <w:tcPr>
            <w:tcW w:w="60" w:type="dxa"/>
            <w:tcBorders/>
            <w:tcMar>
              <w:bottom w:w="0" w:type="dxa"/>
            </w:tcMar>
            <w:vAlign w:val="center"/>
          </w:tcPr>
          <w:p>
            <w:pPr>
              <w:pStyle w:val="TableContents"/>
              <w:bidi w:val="0"/>
              <w:spacing w:before="0" w:after="283"/>
              <w:jc w:val="left"/>
              <w:rPr/>
            </w:pPr>
            <w:r>
              <w:rPr/>
              <w:t> </w:t>
            </w:r>
          </w:p>
        </w:tc>
        <w:tc>
          <w:tcPr>
            <w:tcW w:w="299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Chief Financial Officer</w:t>
            </w:r>
          </w:p>
        </w:tc>
        <w:tc>
          <w:tcPr>
            <w:tcW w:w="60" w:type="dxa"/>
            <w:tcBorders/>
            <w:tcMar>
              <w:bottom w:w="0" w:type="dxa"/>
            </w:tcMar>
            <w:vAlign w:val="center"/>
          </w:tcPr>
          <w:p>
            <w:pPr>
              <w:pStyle w:val="TableContents"/>
              <w:bidi w:val="0"/>
              <w:spacing w:before="0" w:after="283"/>
              <w:jc w:val="left"/>
              <w:rPr/>
            </w:pPr>
            <w:r>
              <w:rPr/>
              <w:t> </w:t>
            </w:r>
          </w:p>
        </w:tc>
        <w:tc>
          <w:tcPr>
            <w:tcW w:w="1310" w:type="dxa"/>
            <w:tcBorders/>
            <w:tcMar>
              <w:bottom w:w="0" w:type="dxa"/>
            </w:tcMar>
            <w:vAlign w:val="center"/>
          </w:tcPr>
          <w:p>
            <w:pPr>
              <w:pStyle w:val="TableContents"/>
              <w:bidi w:val="0"/>
              <w:spacing w:before="0" w:after="0"/>
              <w:ind w:left="60" w:right="0" w:hanging="0"/>
              <w:jc w:val="center"/>
              <w:rPr>
                <w:rFonts w:ascii="Times New Roman" w:hAnsi="Times New Roman"/>
                <w:caps w:val="false"/>
                <w:smallCaps w:val="false"/>
                <w:sz w:val="20"/>
              </w:rPr>
            </w:pPr>
            <w:r>
              <w:rPr>
                <w:rFonts w:ascii="Times New Roman" w:hAnsi="Times New Roman"/>
                <w:caps w:val="false"/>
                <w:smallCaps w:val="false"/>
                <w:sz w:val="20"/>
              </w:rPr>
              <w:t>July 21, 2026</w:t>
            </w:r>
          </w:p>
        </w:tc>
        <w:tc>
          <w:tcPr>
            <w:tcW w:w="60" w:type="dxa"/>
            <w:tcBorders/>
            <w:tcMar>
              <w:bottom w:w="0" w:type="dxa"/>
            </w:tcMar>
            <w:vAlign w:val="center"/>
          </w:tcPr>
          <w:p>
            <w:pPr>
              <w:pStyle w:val="TableContents"/>
              <w:bidi w:val="0"/>
              <w:spacing w:before="0" w:after="283"/>
              <w:jc w:val="left"/>
              <w:rPr/>
            </w:pPr>
            <w:r>
              <w:rPr/>
              <w:t> </w:t>
            </w:r>
          </w:p>
        </w:tc>
      </w:tr>
      <w:tr>
        <w:trPr/>
        <w:tc>
          <w:tcPr>
            <w:tcW w:w="2060" w:type="dxa"/>
            <w:tcBorders/>
            <w:tcMar>
              <w:bottom w:w="0" w:type="dxa"/>
            </w:tcMar>
            <w:vAlign w:val="center"/>
          </w:tcPr>
          <w:p>
            <w:pPr>
              <w:pStyle w:val="TableContents"/>
              <w:bidi w:val="0"/>
              <w:spacing w:before="0" w:after="283"/>
              <w:jc w:val="left"/>
              <w:rPr/>
            </w:pPr>
            <w:r>
              <w:rPr/>
              <w:t>Michael Messinger</w:t>
            </w:r>
          </w:p>
        </w:tc>
        <w:tc>
          <w:tcPr>
            <w:tcW w:w="60" w:type="dxa"/>
            <w:tcBorders/>
            <w:tcMar>
              <w:bottom w:w="0" w:type="dxa"/>
            </w:tcMar>
            <w:vAlign w:val="center"/>
          </w:tcPr>
          <w:p>
            <w:pPr>
              <w:pStyle w:val="TableContents"/>
              <w:bidi w:val="0"/>
              <w:spacing w:before="0" w:after="283"/>
              <w:jc w:val="left"/>
              <w:rPr/>
            </w:pPr>
            <w:r>
              <w:rPr/>
              <w:t> </w:t>
            </w:r>
          </w:p>
        </w:tc>
        <w:tc>
          <w:tcPr>
            <w:tcW w:w="299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(Principal Financial Officer)</w:t>
            </w:r>
          </w:p>
        </w:tc>
        <w:tc>
          <w:tcPr>
            <w:tcW w:w="60" w:type="dxa"/>
            <w:tcBorders/>
            <w:tcMar>
              <w:bottom w:w="0" w:type="dxa"/>
            </w:tcMar>
            <w:vAlign w:val="center"/>
          </w:tcPr>
          <w:p>
            <w:pPr>
              <w:pStyle w:val="TableContents"/>
              <w:bidi w:val="0"/>
              <w:spacing w:before="0" w:after="283"/>
              <w:jc w:val="left"/>
              <w:rPr/>
            </w:pPr>
            <w:r>
              <w:rPr/>
              <w:t> </w:t>
            </w:r>
          </w:p>
        </w:tc>
        <w:tc>
          <w:tcPr>
            <w:tcW w:w="13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r>
      <w:tr>
        <w:trPr/>
        <w:tc>
          <w:tcPr>
            <w:tcW w:w="206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29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r>
      <w:tr>
        <w:trPr/>
        <w:tc>
          <w:tcPr>
            <w:tcW w:w="2060"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Bradford K. Towne</w:t>
            </w:r>
          </w:p>
        </w:tc>
        <w:tc>
          <w:tcPr>
            <w:tcW w:w="60" w:type="dxa"/>
            <w:tcBorders/>
            <w:tcMar>
              <w:bottom w:w="0" w:type="dxa"/>
            </w:tcMar>
            <w:vAlign w:val="center"/>
          </w:tcPr>
          <w:p>
            <w:pPr>
              <w:pStyle w:val="TableContents"/>
              <w:bidi w:val="0"/>
              <w:spacing w:before="0" w:after="283"/>
              <w:jc w:val="left"/>
              <w:rPr/>
            </w:pPr>
            <w:r>
              <w:rPr/>
              <w:t> </w:t>
            </w:r>
          </w:p>
        </w:tc>
        <w:tc>
          <w:tcPr>
            <w:tcW w:w="299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Controller</w:t>
            </w:r>
          </w:p>
        </w:tc>
        <w:tc>
          <w:tcPr>
            <w:tcW w:w="60" w:type="dxa"/>
            <w:tcBorders/>
            <w:tcMar>
              <w:bottom w:w="0" w:type="dxa"/>
            </w:tcMar>
            <w:vAlign w:val="center"/>
          </w:tcPr>
          <w:p>
            <w:pPr>
              <w:pStyle w:val="TableContents"/>
              <w:bidi w:val="0"/>
              <w:spacing w:before="0" w:after="283"/>
              <w:jc w:val="left"/>
              <w:rPr/>
            </w:pPr>
            <w:r>
              <w:rPr/>
              <w:t> </w:t>
            </w:r>
          </w:p>
        </w:tc>
        <w:tc>
          <w:tcPr>
            <w:tcW w:w="1310" w:type="dxa"/>
            <w:tcBorders/>
            <w:tcMar>
              <w:bottom w:w="0" w:type="dxa"/>
            </w:tcMar>
            <w:vAlign w:val="center"/>
          </w:tcPr>
          <w:p>
            <w:pPr>
              <w:pStyle w:val="TableContents"/>
              <w:bidi w:val="0"/>
              <w:spacing w:before="0" w:after="0"/>
              <w:ind w:left="60" w:right="0" w:hanging="0"/>
              <w:jc w:val="center"/>
              <w:rPr>
                <w:rFonts w:ascii="Times New Roman" w:hAnsi="Times New Roman"/>
                <w:caps w:val="false"/>
                <w:smallCaps w:val="false"/>
                <w:sz w:val="20"/>
              </w:rPr>
            </w:pPr>
            <w:r>
              <w:rPr>
                <w:rFonts w:ascii="Times New Roman" w:hAnsi="Times New Roman"/>
                <w:caps w:val="false"/>
                <w:smallCaps w:val="false"/>
                <w:sz w:val="20"/>
              </w:rPr>
              <w:t>July 21, 2026</w:t>
            </w:r>
          </w:p>
        </w:tc>
        <w:tc>
          <w:tcPr>
            <w:tcW w:w="60" w:type="dxa"/>
            <w:tcBorders/>
            <w:tcMar>
              <w:bottom w:w="0" w:type="dxa"/>
            </w:tcMar>
            <w:vAlign w:val="center"/>
          </w:tcPr>
          <w:p>
            <w:pPr>
              <w:pStyle w:val="TableContents"/>
              <w:bidi w:val="0"/>
              <w:spacing w:before="0" w:after="283"/>
              <w:jc w:val="left"/>
              <w:rPr/>
            </w:pPr>
            <w:r>
              <w:rPr/>
              <w:t> </w:t>
            </w:r>
          </w:p>
        </w:tc>
      </w:tr>
      <w:tr>
        <w:trPr/>
        <w:tc>
          <w:tcPr>
            <w:tcW w:w="2060" w:type="dxa"/>
            <w:tcBorders/>
            <w:tcMar>
              <w:bottom w:w="0" w:type="dxa"/>
            </w:tcMar>
            <w:vAlign w:val="center"/>
          </w:tcPr>
          <w:p>
            <w:pPr>
              <w:pStyle w:val="TableContents"/>
              <w:bidi w:val="0"/>
              <w:spacing w:before="0" w:after="283"/>
              <w:jc w:val="left"/>
              <w:rPr/>
            </w:pPr>
            <w:r>
              <w:rPr/>
              <w:t>Bradford Towne</w:t>
            </w:r>
          </w:p>
        </w:tc>
        <w:tc>
          <w:tcPr>
            <w:tcW w:w="60" w:type="dxa"/>
            <w:tcBorders/>
            <w:tcMar>
              <w:bottom w:w="0" w:type="dxa"/>
            </w:tcMar>
            <w:vAlign w:val="center"/>
          </w:tcPr>
          <w:p>
            <w:pPr>
              <w:pStyle w:val="TableContents"/>
              <w:bidi w:val="0"/>
              <w:spacing w:before="0" w:after="283"/>
              <w:jc w:val="left"/>
              <w:rPr/>
            </w:pPr>
            <w:r>
              <w:rPr/>
              <w:t> </w:t>
            </w:r>
          </w:p>
        </w:tc>
        <w:tc>
          <w:tcPr>
            <w:tcW w:w="299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(Principal Accounting Officer)</w:t>
            </w:r>
          </w:p>
        </w:tc>
        <w:tc>
          <w:tcPr>
            <w:tcW w:w="60" w:type="dxa"/>
            <w:tcBorders/>
            <w:tcMar>
              <w:bottom w:w="0" w:type="dxa"/>
            </w:tcMar>
            <w:vAlign w:val="center"/>
          </w:tcPr>
          <w:p>
            <w:pPr>
              <w:pStyle w:val="TableContents"/>
              <w:bidi w:val="0"/>
              <w:spacing w:before="0" w:after="283"/>
              <w:jc w:val="left"/>
              <w:rPr/>
            </w:pPr>
            <w:r>
              <w:rPr/>
              <w:t> </w:t>
            </w:r>
          </w:p>
        </w:tc>
        <w:tc>
          <w:tcPr>
            <w:tcW w:w="13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r>
      <w:tr>
        <w:trPr/>
        <w:tc>
          <w:tcPr>
            <w:tcW w:w="20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9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r>
      <w:tr>
        <w:trPr/>
        <w:tc>
          <w:tcPr>
            <w:tcW w:w="2060"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Kenneth Van Heel</w:t>
            </w:r>
          </w:p>
        </w:tc>
        <w:tc>
          <w:tcPr>
            <w:tcW w:w="60" w:type="dxa"/>
            <w:tcBorders/>
            <w:tcMar>
              <w:bottom w:w="0" w:type="dxa"/>
            </w:tcMar>
            <w:vAlign w:val="center"/>
          </w:tcPr>
          <w:p>
            <w:pPr>
              <w:pStyle w:val="TableContents"/>
              <w:bidi w:val="0"/>
              <w:spacing w:before="0" w:after="283"/>
              <w:jc w:val="left"/>
              <w:rPr/>
            </w:pPr>
            <w:r>
              <w:rPr/>
              <w:t> </w:t>
            </w:r>
          </w:p>
        </w:tc>
        <w:tc>
          <w:tcPr>
            <w:tcW w:w="299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Director</w:t>
            </w:r>
          </w:p>
        </w:tc>
        <w:tc>
          <w:tcPr>
            <w:tcW w:w="60" w:type="dxa"/>
            <w:tcBorders/>
            <w:tcMar>
              <w:bottom w:w="0" w:type="dxa"/>
            </w:tcMar>
            <w:vAlign w:val="center"/>
          </w:tcPr>
          <w:p>
            <w:pPr>
              <w:pStyle w:val="TableContents"/>
              <w:bidi w:val="0"/>
              <w:spacing w:before="0" w:after="283"/>
              <w:jc w:val="center"/>
              <w:rPr/>
            </w:pPr>
            <w:r>
              <w:rPr/>
              <w:t> </w:t>
            </w:r>
          </w:p>
        </w:tc>
        <w:tc>
          <w:tcPr>
            <w:tcW w:w="1310" w:type="dxa"/>
            <w:tcBorders/>
            <w:tcMar>
              <w:bottom w:w="0" w:type="dxa"/>
            </w:tcMar>
            <w:vAlign w:val="center"/>
          </w:tcPr>
          <w:p>
            <w:pPr>
              <w:pStyle w:val="TableContents"/>
              <w:bidi w:val="0"/>
              <w:spacing w:before="0" w:after="283"/>
              <w:jc w:val="center"/>
              <w:rPr/>
            </w:pPr>
            <w:r>
              <w:rPr/>
              <w:t>July 21, 2026</w:t>
            </w:r>
          </w:p>
        </w:tc>
        <w:tc>
          <w:tcPr>
            <w:tcW w:w="60" w:type="dxa"/>
            <w:tcBorders/>
            <w:tcMar>
              <w:bottom w:w="0" w:type="dxa"/>
            </w:tcMar>
            <w:vAlign w:val="center"/>
          </w:tcPr>
          <w:p>
            <w:pPr>
              <w:pStyle w:val="TableContents"/>
              <w:bidi w:val="0"/>
              <w:spacing w:before="0" w:after="283"/>
              <w:jc w:val="left"/>
              <w:rPr/>
            </w:pPr>
            <w:r>
              <w:rPr/>
              <w:t> </w:t>
            </w:r>
          </w:p>
        </w:tc>
      </w:tr>
      <w:tr>
        <w:trPr/>
        <w:tc>
          <w:tcPr>
            <w:tcW w:w="206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Kenneth Van Heel</w:t>
            </w:r>
          </w:p>
        </w:tc>
        <w:tc>
          <w:tcPr>
            <w:tcW w:w="60" w:type="dxa"/>
            <w:tcBorders/>
            <w:tcMar>
              <w:bottom w:w="0" w:type="dxa"/>
            </w:tcMar>
            <w:vAlign w:val="center"/>
          </w:tcPr>
          <w:p>
            <w:pPr>
              <w:pStyle w:val="TableContents"/>
              <w:bidi w:val="0"/>
              <w:spacing w:before="0" w:after="283"/>
              <w:jc w:val="left"/>
              <w:rPr/>
            </w:pPr>
            <w:r>
              <w:rPr/>
              <w:t> </w:t>
            </w:r>
          </w:p>
        </w:tc>
        <w:tc>
          <w:tcPr>
            <w:tcW w:w="29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r>
      <w:tr>
        <w:trPr/>
        <w:tc>
          <w:tcPr>
            <w:tcW w:w="20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9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r>
      <w:tr>
        <w:trPr/>
        <w:tc>
          <w:tcPr>
            <w:tcW w:w="2060"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Jennifer A. Baird</w:t>
            </w:r>
          </w:p>
        </w:tc>
        <w:tc>
          <w:tcPr>
            <w:tcW w:w="60" w:type="dxa"/>
            <w:tcBorders/>
            <w:tcMar>
              <w:bottom w:w="0" w:type="dxa"/>
            </w:tcMar>
            <w:vAlign w:val="center"/>
          </w:tcPr>
          <w:p>
            <w:pPr>
              <w:pStyle w:val="TableContents"/>
              <w:bidi w:val="0"/>
              <w:spacing w:before="0" w:after="283"/>
              <w:jc w:val="left"/>
              <w:rPr/>
            </w:pPr>
            <w:r>
              <w:rPr/>
              <w:t> </w:t>
            </w:r>
          </w:p>
        </w:tc>
        <w:tc>
          <w:tcPr>
            <w:tcW w:w="299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Director</w:t>
            </w:r>
          </w:p>
        </w:tc>
        <w:tc>
          <w:tcPr>
            <w:tcW w:w="60" w:type="dxa"/>
            <w:tcBorders/>
            <w:tcMar>
              <w:bottom w:w="0" w:type="dxa"/>
            </w:tcMar>
            <w:vAlign w:val="center"/>
          </w:tcPr>
          <w:p>
            <w:pPr>
              <w:pStyle w:val="TableContents"/>
              <w:bidi w:val="0"/>
              <w:spacing w:before="0" w:after="283"/>
              <w:jc w:val="left"/>
              <w:rPr/>
            </w:pPr>
            <w:r>
              <w:rPr/>
              <w:t> </w:t>
            </w:r>
          </w:p>
        </w:tc>
        <w:tc>
          <w:tcPr>
            <w:tcW w:w="1310" w:type="dxa"/>
            <w:tcBorders/>
            <w:tcMar>
              <w:bottom w:w="0" w:type="dxa"/>
            </w:tcMar>
            <w:vAlign w:val="center"/>
          </w:tcPr>
          <w:p>
            <w:pPr>
              <w:pStyle w:val="TableContents"/>
              <w:bidi w:val="0"/>
              <w:spacing w:before="0" w:after="0"/>
              <w:ind w:left="60" w:right="0" w:hanging="0"/>
              <w:jc w:val="center"/>
              <w:rPr>
                <w:rFonts w:ascii="Times New Roman" w:hAnsi="Times New Roman"/>
                <w:caps w:val="false"/>
                <w:smallCaps w:val="false"/>
                <w:sz w:val="20"/>
              </w:rPr>
            </w:pPr>
            <w:r>
              <w:rPr>
                <w:rFonts w:ascii="Times New Roman" w:hAnsi="Times New Roman"/>
                <w:caps w:val="false"/>
                <w:smallCaps w:val="false"/>
                <w:sz w:val="20"/>
              </w:rPr>
              <w:t>July 21, 2026</w:t>
            </w:r>
          </w:p>
        </w:tc>
        <w:tc>
          <w:tcPr>
            <w:tcW w:w="60" w:type="dxa"/>
            <w:tcBorders/>
            <w:tcMar>
              <w:bottom w:w="0" w:type="dxa"/>
            </w:tcMar>
            <w:vAlign w:val="center"/>
          </w:tcPr>
          <w:p>
            <w:pPr>
              <w:pStyle w:val="TableContents"/>
              <w:bidi w:val="0"/>
              <w:spacing w:before="0" w:after="283"/>
              <w:jc w:val="left"/>
              <w:rPr/>
            </w:pPr>
            <w:r>
              <w:rPr/>
              <w:t> </w:t>
            </w:r>
          </w:p>
        </w:tc>
      </w:tr>
      <w:tr>
        <w:trPr/>
        <w:tc>
          <w:tcPr>
            <w:tcW w:w="206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Jennifer A. Baird</w:t>
            </w:r>
          </w:p>
        </w:tc>
        <w:tc>
          <w:tcPr>
            <w:tcW w:w="60" w:type="dxa"/>
            <w:tcBorders/>
            <w:tcMar>
              <w:bottom w:w="0" w:type="dxa"/>
            </w:tcMar>
            <w:vAlign w:val="center"/>
          </w:tcPr>
          <w:p>
            <w:pPr>
              <w:pStyle w:val="TableContents"/>
              <w:bidi w:val="0"/>
              <w:spacing w:before="0" w:after="283"/>
              <w:jc w:val="left"/>
              <w:rPr/>
            </w:pPr>
            <w:r>
              <w:rPr/>
              <w:t> </w:t>
            </w:r>
          </w:p>
        </w:tc>
        <w:tc>
          <w:tcPr>
            <w:tcW w:w="29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r>
      <w:tr>
        <w:trPr/>
        <w:tc>
          <w:tcPr>
            <w:tcW w:w="20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9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r>
      <w:tr>
        <w:trPr/>
        <w:tc>
          <w:tcPr>
            <w:tcW w:w="2060"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John Neuman</w:t>
            </w:r>
          </w:p>
        </w:tc>
        <w:tc>
          <w:tcPr>
            <w:tcW w:w="60" w:type="dxa"/>
            <w:tcBorders/>
            <w:tcMar>
              <w:bottom w:w="0" w:type="dxa"/>
            </w:tcMar>
            <w:vAlign w:val="center"/>
          </w:tcPr>
          <w:p>
            <w:pPr>
              <w:pStyle w:val="TableContents"/>
              <w:bidi w:val="0"/>
              <w:spacing w:before="0" w:after="283"/>
              <w:jc w:val="left"/>
              <w:rPr/>
            </w:pPr>
            <w:r>
              <w:rPr/>
              <w:t> </w:t>
            </w:r>
          </w:p>
        </w:tc>
        <w:tc>
          <w:tcPr>
            <w:tcW w:w="299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Director</w:t>
            </w:r>
          </w:p>
        </w:tc>
        <w:tc>
          <w:tcPr>
            <w:tcW w:w="60" w:type="dxa"/>
            <w:tcBorders/>
            <w:tcMar>
              <w:bottom w:w="0" w:type="dxa"/>
            </w:tcMar>
            <w:vAlign w:val="center"/>
          </w:tcPr>
          <w:p>
            <w:pPr>
              <w:pStyle w:val="TableContents"/>
              <w:bidi w:val="0"/>
              <w:spacing w:before="0" w:after="283"/>
              <w:jc w:val="left"/>
              <w:rPr/>
            </w:pPr>
            <w:r>
              <w:rPr/>
              <w:t> </w:t>
            </w:r>
          </w:p>
        </w:tc>
        <w:tc>
          <w:tcPr>
            <w:tcW w:w="1310" w:type="dxa"/>
            <w:tcBorders/>
            <w:tcMar>
              <w:bottom w:w="0" w:type="dxa"/>
            </w:tcMar>
            <w:vAlign w:val="center"/>
          </w:tcPr>
          <w:p>
            <w:pPr>
              <w:pStyle w:val="TableContents"/>
              <w:bidi w:val="0"/>
              <w:spacing w:before="0" w:after="0"/>
              <w:ind w:left="60" w:right="0" w:hanging="0"/>
              <w:jc w:val="center"/>
              <w:rPr>
                <w:rFonts w:ascii="Times New Roman" w:hAnsi="Times New Roman"/>
                <w:caps w:val="false"/>
                <w:smallCaps w:val="false"/>
                <w:sz w:val="20"/>
              </w:rPr>
            </w:pPr>
            <w:r>
              <w:rPr>
                <w:rFonts w:ascii="Times New Roman" w:hAnsi="Times New Roman"/>
                <w:caps w:val="false"/>
                <w:smallCaps w:val="false"/>
                <w:sz w:val="20"/>
              </w:rPr>
              <w:t>July 21, 2026</w:t>
            </w:r>
          </w:p>
        </w:tc>
        <w:tc>
          <w:tcPr>
            <w:tcW w:w="60" w:type="dxa"/>
            <w:tcBorders/>
            <w:tcMar>
              <w:bottom w:w="0" w:type="dxa"/>
            </w:tcMar>
            <w:vAlign w:val="center"/>
          </w:tcPr>
          <w:p>
            <w:pPr>
              <w:pStyle w:val="TableContents"/>
              <w:bidi w:val="0"/>
              <w:spacing w:before="0" w:after="283"/>
              <w:jc w:val="left"/>
              <w:rPr/>
            </w:pPr>
            <w:r>
              <w:rPr/>
              <w:t> </w:t>
            </w:r>
          </w:p>
        </w:tc>
      </w:tr>
      <w:tr>
        <w:trPr/>
        <w:tc>
          <w:tcPr>
            <w:tcW w:w="206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John Neuman</w:t>
            </w:r>
          </w:p>
        </w:tc>
        <w:tc>
          <w:tcPr>
            <w:tcW w:w="60" w:type="dxa"/>
            <w:tcBorders/>
            <w:tcMar>
              <w:bottom w:w="0" w:type="dxa"/>
            </w:tcMar>
            <w:vAlign w:val="center"/>
          </w:tcPr>
          <w:p>
            <w:pPr>
              <w:pStyle w:val="TableContents"/>
              <w:bidi w:val="0"/>
              <w:spacing w:before="0" w:after="283"/>
              <w:jc w:val="left"/>
              <w:rPr/>
            </w:pPr>
            <w:r>
              <w:rPr/>
              <w:t> </w:t>
            </w:r>
          </w:p>
        </w:tc>
        <w:tc>
          <w:tcPr>
            <w:tcW w:w="29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r>
      <w:tr>
        <w:trPr/>
        <w:tc>
          <w:tcPr>
            <w:tcW w:w="20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9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r>
      <w:tr>
        <w:trPr/>
        <w:tc>
          <w:tcPr>
            <w:tcW w:w="2060"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Bernadette N. Vincent</w:t>
            </w:r>
          </w:p>
        </w:tc>
        <w:tc>
          <w:tcPr>
            <w:tcW w:w="60" w:type="dxa"/>
            <w:tcBorders/>
            <w:tcMar>
              <w:bottom w:w="0" w:type="dxa"/>
            </w:tcMar>
            <w:vAlign w:val="center"/>
          </w:tcPr>
          <w:p>
            <w:pPr>
              <w:pStyle w:val="TableContents"/>
              <w:bidi w:val="0"/>
              <w:spacing w:before="0" w:after="283"/>
              <w:jc w:val="left"/>
              <w:rPr/>
            </w:pPr>
            <w:r>
              <w:rPr/>
              <w:t> </w:t>
            </w:r>
          </w:p>
        </w:tc>
        <w:tc>
          <w:tcPr>
            <w:tcW w:w="299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Director</w:t>
            </w:r>
          </w:p>
        </w:tc>
        <w:tc>
          <w:tcPr>
            <w:tcW w:w="60" w:type="dxa"/>
            <w:tcBorders/>
            <w:tcMar>
              <w:bottom w:w="0" w:type="dxa"/>
            </w:tcMar>
            <w:vAlign w:val="center"/>
          </w:tcPr>
          <w:p>
            <w:pPr>
              <w:pStyle w:val="TableContents"/>
              <w:bidi w:val="0"/>
              <w:spacing w:before="0" w:after="283"/>
              <w:jc w:val="left"/>
              <w:rPr/>
            </w:pPr>
            <w:r>
              <w:rPr/>
              <w:t> </w:t>
            </w:r>
          </w:p>
        </w:tc>
        <w:tc>
          <w:tcPr>
            <w:tcW w:w="1310" w:type="dxa"/>
            <w:tcBorders/>
            <w:tcMar>
              <w:bottom w:w="0" w:type="dxa"/>
            </w:tcMar>
            <w:vAlign w:val="center"/>
          </w:tcPr>
          <w:p>
            <w:pPr>
              <w:pStyle w:val="TableContents"/>
              <w:bidi w:val="0"/>
              <w:spacing w:before="0" w:after="0"/>
              <w:ind w:left="60" w:right="0" w:hanging="0"/>
              <w:jc w:val="center"/>
              <w:rPr>
                <w:rFonts w:ascii="Times New Roman" w:hAnsi="Times New Roman"/>
                <w:caps w:val="false"/>
                <w:smallCaps w:val="false"/>
                <w:sz w:val="20"/>
              </w:rPr>
            </w:pPr>
            <w:r>
              <w:rPr>
                <w:rFonts w:ascii="Times New Roman" w:hAnsi="Times New Roman"/>
                <w:caps w:val="false"/>
                <w:smallCaps w:val="false"/>
                <w:sz w:val="20"/>
              </w:rPr>
              <w:t>July 21, 2026</w:t>
            </w:r>
          </w:p>
        </w:tc>
        <w:tc>
          <w:tcPr>
            <w:tcW w:w="60" w:type="dxa"/>
            <w:tcBorders/>
            <w:tcMar>
              <w:bottom w:w="0" w:type="dxa"/>
            </w:tcMar>
            <w:vAlign w:val="center"/>
          </w:tcPr>
          <w:p>
            <w:pPr>
              <w:pStyle w:val="TableContents"/>
              <w:bidi w:val="0"/>
              <w:spacing w:before="0" w:after="283"/>
              <w:jc w:val="left"/>
              <w:rPr/>
            </w:pPr>
            <w:r>
              <w:rPr/>
              <w:t> </w:t>
            </w:r>
          </w:p>
        </w:tc>
      </w:tr>
      <w:tr>
        <w:trPr/>
        <w:tc>
          <w:tcPr>
            <w:tcW w:w="206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Bernadette N. Vincent</w:t>
            </w:r>
          </w:p>
        </w:tc>
        <w:tc>
          <w:tcPr>
            <w:tcW w:w="60" w:type="dxa"/>
            <w:tcBorders/>
            <w:tcMar>
              <w:bottom w:w="0" w:type="dxa"/>
            </w:tcMar>
            <w:vAlign w:val="center"/>
          </w:tcPr>
          <w:p>
            <w:pPr>
              <w:pStyle w:val="TableContents"/>
              <w:bidi w:val="0"/>
              <w:spacing w:before="0" w:after="283"/>
              <w:jc w:val="left"/>
              <w:rPr/>
            </w:pPr>
            <w:r>
              <w:rPr/>
              <w:t> </w:t>
            </w:r>
          </w:p>
        </w:tc>
        <w:tc>
          <w:tcPr>
            <w:tcW w:w="29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p>
      <w:pPr>
        <w:pStyle w:val="TextBody"/>
        <w:bidi w:val="0"/>
        <w:spacing w:before="0" w:after="283"/>
        <w:jc w:val="left"/>
        <w:rPr/>
      </w:pPr>
      <w:r>
        <w:rPr/>
        <w:t> </w:t>
      </w:r>
    </w:p>
    <w:p>
      <w:pPr>
        <w:pStyle w:val="TextBody"/>
        <w:bidi w:val="0"/>
        <w:spacing w:before="0" w:after="0"/>
        <w:ind w:left="0" w:right="0" w:hanging="0"/>
        <w:jc w:val="left"/>
        <w:rPr>
          <w:caps w:val="false"/>
          <w:smallCaps w:val="false"/>
        </w:rPr>
      </w:pPr>
      <w:bookmarkStart w:id="3" w:name="ex_986477.htm"/>
      <w:bookmarkStart w:id="4" w:name="ksex_986477"/>
      <w:bookmarkEnd w:id="3"/>
      <w:bookmarkEnd w:id="4"/>
      <w:r>
        <w:rPr>
          <w:caps w:val="false"/>
          <w:smallCaps w:val="false"/>
        </w:rPr>
        <w:t> </w:t>
      </w:r>
      <w:r>
        <w:br w:type="page"/>
      </w:r>
    </w:p>
    <w:p>
      <w:pPr>
        <w:pStyle w:val="TextBody"/>
        <w:bidi w:val="0"/>
        <w:spacing w:before="0" w:after="0"/>
        <w:ind w:left="0" w:right="0" w:hanging="0"/>
        <w:jc w:val="right"/>
        <w:rPr>
          <w:rFonts w:ascii="Times New Roman" w:hAnsi="Times New Roman"/>
          <w:b/>
          <w:caps w:val="false"/>
          <w:smallCaps w:val="false"/>
          <w:sz w:val="20"/>
        </w:rPr>
      </w:pPr>
      <w:r>
        <w:rPr>
          <w:rFonts w:ascii="Times New Roman" w:hAnsi="Times New Roman"/>
          <w:b/>
          <w:caps w:val="false"/>
          <w:smallCaps w:val="false"/>
          <w:sz w:val="20"/>
        </w:rPr>
        <w:t>Exhibit 5.1</w:t>
      </w:r>
    </w:p>
    <w:p>
      <w:pPr>
        <w:pStyle w:val="TextBody"/>
        <w:bidi w:val="0"/>
        <w:spacing w:before="0" w:after="283"/>
        <w:jc w:val="left"/>
        <w:rPr/>
      </w:pPr>
      <w:r>
        <w:rPr/>
        <w:drawing>
          <wp:inline distT="0" distB="0" distL="0" distR="0">
            <wp:extent cx="1609725" cy="4191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5"/>
                    <a:stretch>
                      <a:fillRect/>
                    </a:stretch>
                  </pic:blipFill>
                  <pic:spPr bwMode="auto">
                    <a:xfrm>
                      <a:off x="0" y="0"/>
                      <a:ext cx="1609725" cy="419100"/>
                    </a:xfrm>
                    <a:prstGeom prst="rect">
                      <a:avLst/>
                    </a:prstGeom>
                  </pic:spPr>
                </pic:pic>
              </a:graphicData>
            </a:graphic>
          </wp:inline>
        </w:drawing>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July 21,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SeaStar Medical Holding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3513 Brighton Blvd., Suite 410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Denver, CO 80216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 Registration Statement on Form S-8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60"/>
        <w:jc w:val="both"/>
        <w:rPr>
          <w:rFonts w:ascii="Times New Roman" w:hAnsi="Times New Roman"/>
          <w:caps w:val="false"/>
          <w:smallCaps w:val="false"/>
          <w:sz w:val="20"/>
        </w:rPr>
      </w:pPr>
      <w:r>
        <w:rPr>
          <w:rFonts w:ascii="Times New Roman" w:hAnsi="Times New Roman"/>
          <w:caps w:val="false"/>
          <w:smallCaps w:val="false"/>
          <w:sz w:val="20"/>
        </w:rPr>
        <w:t>We have acted as counsel to SeaStar Medical Holding Corporation, a Delaware corporation (the “Company”), in connection with a Registration Statement on Form S-8 (the “Registration Statement”) filed by the Company with the Securities and Exchange Commission (the “Commission”) under the Securities Act of 1933, as amended (the “Securities Act”), relating to (i) an aggregate of 689,500 shares (the “Shares”) of common stock, par value $0.0001 per share of the Company, reserved for issuance pursuant to an amendment to the SeaStar Medical Holding Corporation 2022 Omnibus Incentive Plan (as amended, the “Plan”), which was approved by shareholders on June 17,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60"/>
        <w:jc w:val="both"/>
        <w:rPr>
          <w:rFonts w:ascii="Times New Roman" w:hAnsi="Times New Roman"/>
          <w:caps w:val="false"/>
          <w:smallCaps w:val="false"/>
          <w:sz w:val="20"/>
        </w:rPr>
      </w:pPr>
      <w:r>
        <w:rPr>
          <w:rFonts w:ascii="Times New Roman" w:hAnsi="Times New Roman"/>
          <w:caps w:val="false"/>
          <w:smallCaps w:val="false"/>
          <w:sz w:val="20"/>
        </w:rPr>
        <w:t>We have examined such documents and have reviewed such questions of law as we have considered necessary or appropriate for the purposes of our opinions set forth below. In rendering our opinions set forth below, we have assumed the authenticity of all documents submitted to us as originals, the genuineness of all signatures and the conformity to authentic originals of all documents submitted to us as copies. We have also assumed the legal capacity for all purposes relevant hereto of all natural persons. As to questions of fact material to our opinions, we have relied upon certificates or comparable documents of officers and other representatives of the Company and of public officials.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60"/>
        <w:jc w:val="both"/>
        <w:rPr>
          <w:rFonts w:ascii="Times New Roman" w:hAnsi="Times New Roman"/>
          <w:caps w:val="false"/>
          <w:smallCaps w:val="false"/>
          <w:sz w:val="20"/>
        </w:rPr>
      </w:pPr>
      <w:r>
        <w:rPr>
          <w:rFonts w:ascii="Times New Roman" w:hAnsi="Times New Roman"/>
          <w:caps w:val="false"/>
          <w:smallCaps w:val="false"/>
          <w:sz w:val="20"/>
        </w:rPr>
        <w:t>Based on the foregoing, we are of the opinion that the Shares, when issued and delivered in accordance with the terms of the Plan, will be validly issued, fully paid and non-assessable.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60" w:right="0" w:hanging="0"/>
        <w:jc w:val="left"/>
        <w:rPr>
          <w:rFonts w:ascii="Times New Roman" w:hAnsi="Times New Roman"/>
          <w:caps w:val="false"/>
          <w:smallCaps w:val="false"/>
          <w:sz w:val="20"/>
        </w:rPr>
      </w:pPr>
      <w:r>
        <w:rPr>
          <w:rFonts w:ascii="Times New Roman" w:hAnsi="Times New Roman"/>
          <w:caps w:val="false"/>
          <w:smallCaps w:val="false"/>
          <w:sz w:val="20"/>
        </w:rPr>
        <w:t>Our opinions expressed above are limited to the Delaware General Corporation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60"/>
        <w:jc w:val="both"/>
        <w:rPr>
          <w:rFonts w:ascii="Times New Roman" w:hAnsi="Times New Roman"/>
          <w:caps w:val="false"/>
          <w:smallCaps w:val="false"/>
          <w:sz w:val="20"/>
        </w:rPr>
      </w:pPr>
      <w:r>
        <w:rPr>
          <w:rFonts w:ascii="Times New Roman" w:hAnsi="Times New Roman"/>
          <w:caps w:val="false"/>
          <w:smallCaps w:val="false"/>
          <w:sz w:val="20"/>
        </w:rPr>
        <w:t>We hereby consent to the filing of this opinion as Exhibit 5.1 to the Registration Statement. In giving this consent, we do not admit that we are within the category of persons whose consent is required under Section 7 of the Securities Act or the rules and regulations of the Commission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6740" w:right="0" w:hanging="0"/>
        <w:jc w:val="left"/>
        <w:rPr>
          <w:rFonts w:ascii="Times New Roman" w:hAnsi="Times New Roman"/>
          <w:caps w:val="false"/>
          <w:smallCaps w:val="false"/>
          <w:sz w:val="20"/>
        </w:rPr>
      </w:pPr>
      <w:r>
        <w:rPr>
          <w:rFonts w:ascii="Times New Roman" w:hAnsi="Times New Roman"/>
          <w:caps w:val="false"/>
          <w:smallCaps w:val="false"/>
          <w:sz w:val="20"/>
        </w:rPr>
        <w:t>Very truly yours,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6740" w:right="0" w:hanging="0"/>
        <w:jc w:val="left"/>
        <w:rPr>
          <w:rFonts w:ascii="Times New Roman" w:hAnsi="Times New Roman"/>
          <w:caps w:val="false"/>
          <w:smallCaps w:val="false"/>
          <w:sz w:val="20"/>
        </w:rPr>
      </w:pPr>
      <w:r>
        <w:rPr>
          <w:rFonts w:ascii="Times New Roman" w:hAnsi="Times New Roman"/>
          <w:caps w:val="false"/>
          <w:smallCaps w:val="false"/>
          <w:sz w:val="20"/>
        </w:rPr>
        <w:t>/s/Dorsey &amp; Whitney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caps w:val="false"/>
          <w:smallCaps w:val="false"/>
        </w:rPr>
      </w:pPr>
      <w:bookmarkStart w:id="5" w:name="ex_986478.htm"/>
      <w:bookmarkStart w:id="6" w:name="ksex_986478"/>
      <w:bookmarkEnd w:id="5"/>
      <w:bookmarkEnd w:id="6"/>
      <w:r>
        <w:rPr>
          <w:caps w:val="false"/>
          <w:smallCaps w:val="false"/>
        </w:rPr>
        <w:t> </w:t>
      </w:r>
      <w:r>
        <w:br w:type="page"/>
      </w:r>
    </w:p>
    <w:p>
      <w:pPr>
        <w:pStyle w:val="TextBody"/>
        <w:bidi w:val="0"/>
        <w:spacing w:before="0" w:after="0"/>
        <w:ind w:left="0" w:right="0" w:hanging="0"/>
        <w:jc w:val="right"/>
        <w:rPr>
          <w:rFonts w:ascii="Times New Roman" w:hAnsi="Times New Roman"/>
          <w:b/>
          <w:caps w:val="false"/>
          <w:smallCaps w:val="false"/>
          <w:sz w:val="20"/>
        </w:rPr>
      </w:pPr>
      <w:r>
        <w:rPr>
          <w:rFonts w:ascii="Times New Roman" w:hAnsi="Times New Roman"/>
          <w:b/>
          <w:caps w:val="false"/>
          <w:smallCaps w:val="false"/>
          <w:sz w:val="20"/>
        </w:rPr>
        <w:t>Exhibit 23.1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CONSENT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hereby consent to the incorporation by reference in this Registration Statement on Form S-8 of our report dated March 25, 2026, which includes an explanatory paragraph relating to SeaStar Medical Holding Corporation’s ability to continue as a going concern, relating to the consolidated financial statements of SeaStar Medical Holding Corporation as of and for the years ended December 31, 2025 and 2024, which appears in SeaStar Medical Holding Corporation’s Annual Report on Form 10</w:t>
        <w:noBreakHyphen/>
        <w:t>K for the year ended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WithumSmith+Brown, PC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East Brunswick, New Jersey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July 21,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Normal"/>
        <w:bidi w:val="0"/>
        <w:spacing w:before="0" w:after="0"/>
        <w:jc w:val="left"/>
        <w:rPr>
          <w:sz w:val="4"/>
          <w:szCs w:val="4"/>
        </w:rPr>
      </w:pPr>
      <w:r>
        <w:rPr>
          <w:sz w:val="4"/>
          <w:szCs w:val="4"/>
        </w:rPr>
      </w:r>
      <w:bookmarkStart w:id="7" w:name="ex_986556.htm"/>
      <w:bookmarkStart w:id="8" w:name="ksex_986556"/>
      <w:bookmarkStart w:id="9" w:name="ex_986556.htm"/>
      <w:bookmarkStart w:id="10" w:name="ksex_986556"/>
      <w:bookmarkEnd w:id="9"/>
      <w:bookmarkEnd w:id="10"/>
      <w:r>
        <w:br w:type="page"/>
      </w:r>
    </w:p>
    <w:tbl>
      <w:tblPr>
        <w:tblW w:w="3581" w:type="dxa"/>
        <w:jc w:val="left"/>
        <w:tblInd w:w="0" w:type="dxa"/>
        <w:tblLayout w:type="fixed"/>
        <w:tblCellMar>
          <w:top w:w="28" w:type="dxa"/>
          <w:left w:w="28" w:type="dxa"/>
          <w:bottom w:w="28" w:type="dxa"/>
          <w:right w:w="28" w:type="dxa"/>
        </w:tblCellMar>
      </w:tblPr>
      <w:tblGrid>
        <w:gridCol w:w="3427"/>
        <w:gridCol w:w="154"/>
      </w:tblGrid>
      <w:tr>
        <w:trPr/>
        <w:tc>
          <w:tcPr>
            <w:tcW w:w="3581"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27" w:type="dxa"/>
            <w:tcBorders/>
            <w:vAlign w:val="center"/>
          </w:tcPr>
          <w:p>
            <w:pPr>
              <w:pStyle w:val="TableContents"/>
              <w:bidi w:val="0"/>
              <w:spacing w:before="0" w:after="283"/>
              <w:jc w:val="left"/>
              <w:rPr>
                <w:b/>
              </w:rPr>
            </w:pPr>
            <w:r>
              <w:rPr>
                <w:b/>
              </w:rPr>
              <w:t xml:space="preserve">S-8 </w:t>
            </w:r>
          </w:p>
        </w:tc>
        <w:tc>
          <w:tcPr>
            <w:tcW w:w="154" w:type="dxa"/>
            <w:tcBorders/>
          </w:tcPr>
          <w:p>
            <w:pPr>
              <w:pStyle w:val="TableContents"/>
              <w:bidi w:val="0"/>
              <w:spacing w:before="0" w:after="283"/>
              <w:jc w:val="left"/>
              <w:rPr>
                <w:sz w:val="4"/>
                <w:szCs w:val="4"/>
              </w:rPr>
            </w:pPr>
            <w:r>
              <w:rPr>
                <w:sz w:val="4"/>
                <w:szCs w:val="4"/>
              </w:rPr>
            </w:r>
          </w:p>
        </w:tc>
      </w:tr>
      <w:tr>
        <w:trPr/>
        <w:tc>
          <w:tcPr>
            <w:tcW w:w="3427" w:type="dxa"/>
            <w:tcBorders/>
            <w:vAlign w:val="center"/>
          </w:tcPr>
          <w:p>
            <w:pPr>
              <w:pStyle w:val="TableContents"/>
              <w:bidi w:val="0"/>
              <w:spacing w:before="0" w:after="283"/>
              <w:jc w:val="left"/>
              <w:rPr>
                <w:b/>
              </w:rPr>
            </w:pPr>
            <w:r>
              <w:rPr>
                <w:b/>
              </w:rPr>
              <w:t xml:space="preserve">SeaStar Medical Holding Corp </w:t>
            </w:r>
          </w:p>
        </w:tc>
        <w:tc>
          <w:tcPr>
            <w:tcW w:w="154" w:type="dxa"/>
            <w:tcBorders/>
          </w:tcPr>
          <w:p>
            <w:pPr>
              <w:pStyle w:val="TableContents"/>
              <w:bidi w:val="0"/>
              <w:spacing w:before="0" w:after="283"/>
              <w:jc w:val="left"/>
              <w:rPr>
                <w:sz w:val="4"/>
                <w:szCs w:val="4"/>
              </w:rPr>
            </w:pPr>
            <w:r>
              <w:rPr>
                <w:sz w:val="4"/>
                <w:szCs w:val="4"/>
              </w:rPr>
            </w:r>
          </w:p>
        </w:tc>
      </w:tr>
    </w:tbl>
    <w:tbl>
      <w:tblPr>
        <w:tblW w:w="3946" w:type="dxa"/>
        <w:jc w:val="left"/>
        <w:tblInd w:w="0" w:type="dxa"/>
        <w:tblLayout w:type="fixed"/>
        <w:tblCellMar>
          <w:top w:w="28" w:type="dxa"/>
          <w:left w:w="28" w:type="dxa"/>
          <w:bottom w:w="28" w:type="dxa"/>
          <w:right w:w="28" w:type="dxa"/>
        </w:tblCellMar>
      </w:tblPr>
      <w:tblGrid>
        <w:gridCol w:w="3946"/>
      </w:tblGrid>
      <w:tr>
        <w:trPr/>
        <w:tc>
          <w:tcPr>
            <w:tcW w:w="3946" w:type="dxa"/>
            <w:tcBorders/>
            <w:vAlign w:val="center"/>
          </w:tcPr>
          <w:p>
            <w:pPr>
              <w:pStyle w:val="TableHeading"/>
              <w:bidi w:val="0"/>
              <w:spacing w:before="0" w:after="0"/>
              <w:ind w:left="0" w:right="0" w:hanging="0"/>
              <w:jc w:val="center"/>
              <w:rPr/>
            </w:pPr>
            <w:r>
              <w:rPr>
                <w:b/>
              </w:rPr>
              <w:t>Table 1: Newly Registered Securities</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242"/>
        <w:gridCol w:w="962"/>
        <w:gridCol w:w="1076"/>
        <w:gridCol w:w="1301"/>
        <w:gridCol w:w="1210"/>
        <w:gridCol w:w="1244"/>
        <w:gridCol w:w="1603"/>
        <w:gridCol w:w="1127"/>
        <w:gridCol w:w="1440"/>
      </w:tblGrid>
      <w:tr>
        <w:trPr/>
        <w:tc>
          <w:tcPr>
            <w:tcW w:w="242" w:type="dxa"/>
            <w:tcBorders/>
            <w:shd w:fill="9ADAF6" w:val="clear"/>
            <w:vAlign w:val="center"/>
          </w:tcPr>
          <w:p>
            <w:pPr>
              <w:pStyle w:val="TableHeading"/>
              <w:bidi w:val="0"/>
              <w:spacing w:before="0" w:after="283"/>
              <w:rPr>
                <w:sz w:val="4"/>
                <w:szCs w:val="4"/>
              </w:rPr>
            </w:pPr>
            <w:r>
              <w:rPr>
                <w:sz w:val="4"/>
                <w:szCs w:val="4"/>
              </w:rPr>
            </w:r>
          </w:p>
        </w:tc>
        <w:tc>
          <w:tcPr>
            <w:tcW w:w="96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076"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301" w:type="dxa"/>
            <w:tcBorders/>
            <w:shd w:fill="9ADAF6" w:val="clear"/>
            <w:vAlign w:val="center"/>
          </w:tcPr>
          <w:p>
            <w:pPr>
              <w:pStyle w:val="TableHeading"/>
              <w:bidi w:val="0"/>
              <w:spacing w:before="0" w:after="0"/>
              <w:ind w:left="0" w:right="0" w:hanging="0"/>
              <w:jc w:val="center"/>
              <w:rPr/>
            </w:pPr>
            <w:r>
              <w:rPr>
                <w:b/>
              </w:rPr>
              <w:t>Fee Calculation Rule</w:t>
            </w:r>
            <w:r>
              <w:rPr/>
              <w:t xml:space="preserve"> </w:t>
            </w:r>
          </w:p>
        </w:tc>
        <w:tc>
          <w:tcPr>
            <w:tcW w:w="1210"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244"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603"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7"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440"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r>
      <w:tr>
        <w:trPr/>
        <w:tc>
          <w:tcPr>
            <w:tcW w:w="242" w:type="dxa"/>
            <w:tcBorders/>
            <w:shd w:fill="E7E7E2" w:val="clear"/>
            <w:vAlign w:val="center"/>
          </w:tcPr>
          <w:p>
            <w:pPr>
              <w:pStyle w:val="TableContents"/>
              <w:bidi w:val="0"/>
              <w:spacing w:before="0" w:after="283"/>
              <w:jc w:val="center"/>
              <w:rPr/>
            </w:pPr>
            <w:r>
              <w:rPr/>
              <w:t xml:space="preserve">1 </w:t>
            </w:r>
          </w:p>
        </w:tc>
        <w:tc>
          <w:tcPr>
            <w:tcW w:w="962" w:type="dxa"/>
            <w:tcBorders/>
            <w:shd w:fill="E7E7E2" w:val="clear"/>
            <w:vAlign w:val="center"/>
          </w:tcPr>
          <w:p>
            <w:pPr>
              <w:pStyle w:val="TableContents"/>
              <w:bidi w:val="0"/>
              <w:spacing w:before="0" w:after="283"/>
              <w:jc w:val="left"/>
              <w:rPr/>
            </w:pPr>
            <w:r>
              <w:rPr/>
              <w:t xml:space="preserve">Equity </w:t>
            </w:r>
          </w:p>
        </w:tc>
        <w:tc>
          <w:tcPr>
            <w:tcW w:w="1076" w:type="dxa"/>
            <w:tcBorders/>
            <w:shd w:fill="E7E7E2" w:val="clear"/>
            <w:vAlign w:val="center"/>
          </w:tcPr>
          <w:p>
            <w:pPr>
              <w:pStyle w:val="TableContents"/>
              <w:bidi w:val="0"/>
              <w:spacing w:before="0" w:after="283"/>
              <w:jc w:val="left"/>
              <w:rPr/>
            </w:pPr>
            <w:r>
              <w:rPr/>
              <w:t xml:space="preserve">Common Stock, par value $0.0001 per share </w:t>
            </w:r>
          </w:p>
        </w:tc>
        <w:tc>
          <w:tcPr>
            <w:tcW w:w="1301" w:type="dxa"/>
            <w:tcBorders/>
            <w:shd w:fill="E7E7E2" w:val="clear"/>
            <w:vAlign w:val="center"/>
          </w:tcPr>
          <w:p>
            <w:pPr>
              <w:pStyle w:val="TableContents"/>
              <w:bidi w:val="0"/>
              <w:spacing w:before="0" w:after="283"/>
              <w:jc w:val="center"/>
              <w:rPr/>
            </w:pPr>
            <w:r>
              <w:rPr/>
              <w:t xml:space="preserve">Other </w:t>
            </w:r>
          </w:p>
        </w:tc>
        <w:tc>
          <w:tcPr>
            <w:tcW w:w="1210" w:type="dxa"/>
            <w:tcBorders/>
            <w:shd w:fill="E7E7E2" w:val="clear"/>
            <w:vAlign w:val="center"/>
          </w:tcPr>
          <w:p>
            <w:pPr>
              <w:pStyle w:val="TableContents"/>
              <w:bidi w:val="0"/>
              <w:spacing w:before="0" w:after="283"/>
              <w:jc w:val="right"/>
              <w:rPr/>
            </w:pPr>
            <w:r>
              <w:rPr/>
              <w:t xml:space="preserve">689,500 </w:t>
            </w:r>
          </w:p>
        </w:tc>
        <w:tc>
          <w:tcPr>
            <w:tcW w:w="1244" w:type="dxa"/>
            <w:tcBorders/>
            <w:shd w:fill="E7E7E2" w:val="clear"/>
            <w:vAlign w:val="center"/>
          </w:tcPr>
          <w:p>
            <w:pPr>
              <w:pStyle w:val="TableContents"/>
              <w:bidi w:val="0"/>
              <w:spacing w:before="0" w:after="283"/>
              <w:jc w:val="right"/>
              <w:rPr/>
            </w:pPr>
            <w:r>
              <w:rPr/>
              <w:t xml:space="preserve">$ 4.22 </w:t>
            </w:r>
          </w:p>
        </w:tc>
        <w:tc>
          <w:tcPr>
            <w:tcW w:w="1603" w:type="dxa"/>
            <w:tcBorders/>
            <w:shd w:fill="E7E7E2" w:val="clear"/>
            <w:vAlign w:val="center"/>
          </w:tcPr>
          <w:p>
            <w:pPr>
              <w:pStyle w:val="TableContents"/>
              <w:bidi w:val="0"/>
              <w:spacing w:before="0" w:after="283"/>
              <w:jc w:val="right"/>
              <w:rPr/>
            </w:pPr>
            <w:r>
              <w:rPr/>
              <w:t xml:space="preserve">$ 2,909,690.00 </w:t>
            </w:r>
          </w:p>
        </w:tc>
        <w:tc>
          <w:tcPr>
            <w:tcW w:w="1127" w:type="dxa"/>
            <w:tcBorders/>
            <w:shd w:fill="E7E7E2" w:val="clear"/>
            <w:vAlign w:val="center"/>
          </w:tcPr>
          <w:p>
            <w:pPr>
              <w:pStyle w:val="TableContents"/>
              <w:bidi w:val="0"/>
              <w:spacing w:before="0" w:after="283"/>
              <w:jc w:val="right"/>
              <w:rPr/>
            </w:pPr>
            <w:r>
              <w:rPr/>
              <w:t xml:space="preserve">0.0001381 </w:t>
            </w:r>
          </w:p>
        </w:tc>
        <w:tc>
          <w:tcPr>
            <w:tcW w:w="1440" w:type="dxa"/>
            <w:tcBorders/>
            <w:shd w:fill="E7E7E2" w:val="clear"/>
            <w:vAlign w:val="center"/>
          </w:tcPr>
          <w:p>
            <w:pPr>
              <w:pStyle w:val="TableContents"/>
              <w:bidi w:val="0"/>
              <w:spacing w:before="0" w:after="283"/>
              <w:jc w:val="right"/>
              <w:rPr/>
            </w:pPr>
            <w:r>
              <w:rPr/>
              <w:t xml:space="preserve">$ 401.83 </w:t>
            </w:r>
          </w:p>
        </w:tc>
      </w:tr>
      <w:tr>
        <w:trPr/>
        <w:tc>
          <w:tcPr>
            <w:tcW w:w="4791" w:type="dxa"/>
            <w:gridSpan w:val="5"/>
            <w:tcBorders/>
            <w:vAlign w:val="center"/>
          </w:tcPr>
          <w:p>
            <w:pPr>
              <w:pStyle w:val="TableContents"/>
              <w:bidi w:val="0"/>
              <w:spacing w:before="0" w:after="0"/>
              <w:ind w:left="0" w:right="0" w:hanging="0"/>
              <w:jc w:val="right"/>
              <w:rPr/>
            </w:pPr>
            <w:r>
              <w:rPr/>
              <w:t>Total Offering Amounts:</w:t>
            </w:r>
          </w:p>
        </w:tc>
        <w:tc>
          <w:tcPr>
            <w:tcW w:w="1244" w:type="dxa"/>
            <w:tcBorders/>
            <w:vAlign w:val="center"/>
          </w:tcPr>
          <w:p>
            <w:pPr>
              <w:pStyle w:val="TableContents"/>
              <w:bidi w:val="0"/>
              <w:spacing w:before="0" w:after="283"/>
              <w:jc w:val="left"/>
              <w:rPr>
                <w:sz w:val="4"/>
                <w:szCs w:val="4"/>
              </w:rPr>
            </w:pPr>
            <w:r>
              <w:rPr>
                <w:sz w:val="4"/>
                <w:szCs w:val="4"/>
              </w:rPr>
            </w:r>
          </w:p>
        </w:tc>
        <w:tc>
          <w:tcPr>
            <w:tcW w:w="1603" w:type="dxa"/>
            <w:tcBorders/>
            <w:vAlign w:val="center"/>
          </w:tcPr>
          <w:p>
            <w:pPr>
              <w:pStyle w:val="TableContents"/>
              <w:bidi w:val="0"/>
              <w:spacing w:before="0" w:after="0"/>
              <w:ind w:left="0" w:right="0" w:hanging="0"/>
              <w:jc w:val="right"/>
              <w:rPr/>
            </w:pPr>
            <w:bookmarkStart w:id="11" w:name="MaxAggtOfferingPrice"/>
            <w:bookmarkEnd w:id="11"/>
            <w:r>
              <w:rPr/>
              <w:t xml:space="preserve">$ 2,909,690.00 </w:t>
            </w:r>
          </w:p>
        </w:tc>
        <w:tc>
          <w:tcPr>
            <w:tcW w:w="1127" w:type="dxa"/>
            <w:tcBorders/>
            <w:vAlign w:val="center"/>
          </w:tcPr>
          <w:p>
            <w:pPr>
              <w:pStyle w:val="TableContents"/>
              <w:bidi w:val="0"/>
              <w:spacing w:before="0" w:after="283"/>
              <w:jc w:val="left"/>
              <w:rPr>
                <w:sz w:val="4"/>
                <w:szCs w:val="4"/>
              </w:rPr>
            </w:pPr>
            <w:r>
              <w:rPr>
                <w:sz w:val="4"/>
                <w:szCs w:val="4"/>
              </w:rPr>
            </w:r>
          </w:p>
        </w:tc>
        <w:tc>
          <w:tcPr>
            <w:tcW w:w="1440"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12" w:name="TotalFeeAmt"/>
            <w:bookmarkEnd w:id="12"/>
            <w:r>
              <w:rPr/>
              <w:t xml:space="preserve">$ 401.83 </w:t>
            </w:r>
          </w:p>
        </w:tc>
      </w:tr>
      <w:tr>
        <w:trPr/>
        <w:tc>
          <w:tcPr>
            <w:tcW w:w="4791" w:type="dxa"/>
            <w:gridSpan w:val="5"/>
            <w:tcBorders/>
            <w:vAlign w:val="center"/>
          </w:tcPr>
          <w:p>
            <w:pPr>
              <w:pStyle w:val="TableContents"/>
              <w:bidi w:val="0"/>
              <w:spacing w:before="0" w:after="0"/>
              <w:ind w:left="0" w:right="0" w:hanging="0"/>
              <w:jc w:val="right"/>
              <w:rPr/>
            </w:pPr>
            <w:r>
              <w:rPr/>
              <w:t xml:space="preserve">Total Fee Offsets: </w:t>
            </w:r>
          </w:p>
        </w:tc>
        <w:tc>
          <w:tcPr>
            <w:tcW w:w="1244" w:type="dxa"/>
            <w:tcBorders/>
            <w:vAlign w:val="center"/>
          </w:tcPr>
          <w:p>
            <w:pPr>
              <w:pStyle w:val="TableContents"/>
              <w:bidi w:val="0"/>
              <w:spacing w:before="0" w:after="283"/>
              <w:jc w:val="left"/>
              <w:rPr>
                <w:sz w:val="4"/>
                <w:szCs w:val="4"/>
              </w:rPr>
            </w:pPr>
            <w:r>
              <w:rPr>
                <w:sz w:val="4"/>
                <w:szCs w:val="4"/>
              </w:rPr>
            </w:r>
          </w:p>
        </w:tc>
        <w:tc>
          <w:tcPr>
            <w:tcW w:w="1603"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440" w:type="dxa"/>
            <w:tcBorders/>
            <w:vAlign w:val="center"/>
          </w:tcPr>
          <w:p>
            <w:pPr>
              <w:pStyle w:val="TableContents"/>
              <w:bidi w:val="0"/>
              <w:spacing w:before="0" w:after="0"/>
              <w:ind w:left="0" w:right="0" w:hanging="0"/>
              <w:jc w:val="right"/>
              <w:rPr/>
            </w:pPr>
            <w:bookmarkStart w:id="13" w:name="TotalOffsetAmt"/>
            <w:bookmarkEnd w:id="13"/>
            <w:r>
              <w:rPr/>
              <w:t xml:space="preserve">$ 0.00 </w:t>
            </w:r>
          </w:p>
        </w:tc>
      </w:tr>
      <w:tr>
        <w:trPr/>
        <w:tc>
          <w:tcPr>
            <w:tcW w:w="4791" w:type="dxa"/>
            <w:gridSpan w:val="5"/>
            <w:tcBorders/>
            <w:vAlign w:val="center"/>
          </w:tcPr>
          <w:p>
            <w:pPr>
              <w:pStyle w:val="TableContents"/>
              <w:bidi w:val="0"/>
              <w:spacing w:before="0" w:after="0"/>
              <w:ind w:left="0" w:right="0" w:hanging="0"/>
              <w:jc w:val="right"/>
              <w:rPr/>
            </w:pPr>
            <w:r>
              <w:rPr/>
              <w:t xml:space="preserve">Net Fee Due: </w:t>
            </w:r>
          </w:p>
        </w:tc>
        <w:tc>
          <w:tcPr>
            <w:tcW w:w="1244" w:type="dxa"/>
            <w:tcBorders/>
            <w:vAlign w:val="center"/>
          </w:tcPr>
          <w:p>
            <w:pPr>
              <w:pStyle w:val="TableContents"/>
              <w:bidi w:val="0"/>
              <w:spacing w:before="0" w:after="283"/>
              <w:jc w:val="left"/>
              <w:rPr>
                <w:sz w:val="4"/>
                <w:szCs w:val="4"/>
              </w:rPr>
            </w:pPr>
            <w:r>
              <w:rPr>
                <w:sz w:val="4"/>
                <w:szCs w:val="4"/>
              </w:rPr>
            </w:r>
          </w:p>
        </w:tc>
        <w:tc>
          <w:tcPr>
            <w:tcW w:w="1603"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440" w:type="dxa"/>
            <w:tcBorders/>
            <w:vAlign w:val="center"/>
          </w:tcPr>
          <w:p>
            <w:pPr>
              <w:pStyle w:val="TableContents"/>
              <w:bidi w:val="0"/>
              <w:spacing w:before="0" w:after="0"/>
              <w:ind w:left="0" w:right="0" w:hanging="0"/>
              <w:jc w:val="right"/>
              <w:rPr/>
            </w:pPr>
            <w:bookmarkStart w:id="14" w:name="NetFeeAmt"/>
            <w:bookmarkEnd w:id="14"/>
            <w:r>
              <w:rPr/>
              <w:t xml:space="preserve">$ 401.83 </w:t>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0"/>
        <w:gridCol w:w="1295"/>
        <w:gridCol w:w="8710"/>
      </w:tblGrid>
      <w:tr>
        <w:trPr/>
        <w:tc>
          <w:tcPr>
            <w:tcW w:w="200"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5" w:type="dxa"/>
            <w:gridSpan w:val="2"/>
            <w:tcBorders/>
            <w:vAlign w:val="center"/>
          </w:tcPr>
          <w:p>
            <w:pPr>
              <w:pStyle w:val="TableContents"/>
              <w:bidi w:val="0"/>
              <w:spacing w:before="0" w:after="283"/>
              <w:jc w:val="left"/>
              <w:rPr/>
            </w:pPr>
            <w:r>
              <w:rPr/>
              <w:t xml:space="preserve">(1) This registration statement on Form S-8 covers: (i) an aggregate of 689,500 shares (the "Shares") of common stock, par value $0.0001 per share (the "Common Stock"), of SeaStar Medical Holding Corporation (the "Registrant"), reserved for issuance pursuant to an amendment to the SeaStar Medical Holding Corporation 2022 Omnibus Incentive Plan (as amended, the "Incentive Plan"), which was approved by shareholders on June 17, 2026, and (ii) pursuant to Rule 416(a) under the Securities Act of 1933, as amended (the "Securities Act"), any additional shares of Common Stock that become issuable under the Incentive Plan by reason of any stock dividend, stock split, or other similar transaction. (2) Represents unissued shares of Common Stock that may be issuable in the future pursuant to the Plan. Estimated solely for the purpose of calculating the registration fee pursuant to Rule 457(c) and Rule 457(h) under the Securities Act based upon the average of the high and low sales prices of the Registrant's Common Stock as reported on the Nasdaq Capital Market on July 16, 2026, rounded up to the nearest cent. </w:t>
            </w:r>
          </w:p>
        </w:tc>
      </w:tr>
      <w:tr>
        <w:trPr/>
        <w:tc>
          <w:tcPr>
            <w:tcW w:w="1495" w:type="dxa"/>
            <w:gridSpan w:val="2"/>
            <w:tcBorders/>
            <w:vAlign w:val="center"/>
          </w:tcPr>
          <w:p>
            <w:pPr>
              <w:pStyle w:val="HorizontalLine"/>
              <w:pBdr>
                <w:bottom w:val="double" w:sz="2" w:space="0" w:color="808080"/>
              </w:pBdr>
              <w:bidi w:val="0"/>
              <w:spacing w:before="0" w:after="283"/>
              <w:jc w:val="left"/>
              <w:rPr/>
            </w:pPr>
            <w:r>
              <w:rPr/>
            </w:r>
          </w:p>
        </w:tc>
        <w:tc>
          <w:tcPr>
            <w:tcW w:w="8710"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ix?doc=/Archives/edgar/data/1831868/000143774926009797/icu20251231_10k.htm" TargetMode="External"/><Relationship Id="rId3" Type="http://schemas.openxmlformats.org/officeDocument/2006/relationships/hyperlink" Target="http://www.sec.gov/ix?doc=/Archives/edgar/data/1831868/000143774926016764/icu20260331c_10q.htm" TargetMode="External"/><Relationship Id="rId4" Type="http://schemas.openxmlformats.org/officeDocument/2006/relationships/hyperlink" Target="http://www.sec.gov/ix?doc=/Archives/edgar/data/1831868/000143774926001541/icu20260117_8k.htm" TargetMode="External"/><Relationship Id="rId5" Type="http://schemas.openxmlformats.org/officeDocument/2006/relationships/hyperlink" Target="http://www.sec.gov/ix?doc=/Archives/edgar/data/1831868/000143774926013653/icu20260428_8k.htm" TargetMode="External"/><Relationship Id="rId6" Type="http://schemas.openxmlformats.org/officeDocument/2006/relationships/hyperlink" Target="http://www.sec.gov/ix?doc=/Archives/edgar/data/1831868/000143774926020967/icu20260616_8k.htm" TargetMode="External"/><Relationship Id="rId7" Type="http://schemas.openxmlformats.org/officeDocument/2006/relationships/hyperlink" Target="http://www.sec.gov/Archives/edgar/data/1831868/000143774926022278/0001437749-26-022278-index.html" TargetMode="External"/><Relationship Id="rId8" Type="http://schemas.openxmlformats.org/officeDocument/2006/relationships/hyperlink" Target="http://www.sec.gov/ix?doc=/Archives/edgar/data/1831868/000143774926021441/icu20260520_8ka.htm" TargetMode="External"/><Relationship Id="rId9" Type="http://schemas.openxmlformats.org/officeDocument/2006/relationships/hyperlink" Target="http://www.sec.gov/Archives/edgar/data/1831868/000119312522273062/d402961d8a12ba.htm" TargetMode="External"/><Relationship Id="rId10" Type="http://schemas.openxmlformats.org/officeDocument/2006/relationships/hyperlink" Target="http://www.sec.gov/Archives/edgar/data/1831868/000119312522273062/d402961d8a12ba.htm" TargetMode="External"/><Relationship Id="rId11" Type="http://schemas.openxmlformats.org/officeDocument/2006/relationships/hyperlink" Target="http://www.sec.gov/Archives/edgar/data/1831868/000095017025046200/icu-ex4_3.htm" TargetMode="External"/><Relationship Id="rId12" Type="http://schemas.openxmlformats.org/officeDocument/2006/relationships/hyperlink" Target="http://www.sec.gov/Archives/edgar/data/1831868/000119312522273062/d402961d8a12ba.htm" TargetMode="External"/><Relationship Id="rId13" Type="http://schemas.openxmlformats.org/officeDocument/2006/relationships/hyperlink" Target="http://www.sec.gov/Archives/edgar/data/1831868/000095017025046200/icu-20241231.htm" TargetMode="External"/><Relationship Id="rId14" Type="http://schemas.openxmlformats.org/officeDocument/2006/relationships/hyperlink" Target="http://www.sec.gov/Archives/edgar/data/1831868/000119312522277072/d333231dex31.htm" TargetMode="External"/><Relationship Id="rId15" Type="http://schemas.openxmlformats.org/officeDocument/2006/relationships/hyperlink" Target="http://www.sec.gov/Archives/edgar/data/1831868/000119312522277072/d333231dex31.htm" TargetMode="External"/><Relationship Id="rId16" Type="http://schemas.openxmlformats.org/officeDocument/2006/relationships/hyperlink" Target="http://www.sec.gov/Archives/edgar/data/1831868/000119312522277072/d333231dex31.htm" TargetMode="External"/><Relationship Id="rId17" Type="http://schemas.openxmlformats.org/officeDocument/2006/relationships/hyperlink" Target="http://www.sec.gov/Archives/edgar/data/1831868/000119312522277072/d333231dex31.htm" TargetMode="External"/><Relationship Id="rId18" Type="http://schemas.openxmlformats.org/officeDocument/2006/relationships/hyperlink" Target="http://www.sec.gov/Archives/edgar/data/1831868/000119312522277072/d333231dex31.htm" TargetMode="External"/><Relationship Id="rId19" Type="http://schemas.openxmlformats.org/officeDocument/2006/relationships/hyperlink" Target="http://www.sec.gov/Archives/edgar/data/1831868/000095017023049027/icu-ex3_1.htm" TargetMode="External"/><Relationship Id="rId20" Type="http://schemas.openxmlformats.org/officeDocument/2006/relationships/hyperlink" Target="http://www.sec.gov/Archives/edgar/data/1831868/000095017024070915/icu-ex3_1.htm" TargetMode="External"/><Relationship Id="rId21" Type="http://schemas.openxmlformats.org/officeDocument/2006/relationships/hyperlink" Target="http://www.sec.gov/Archives/edgar/data/1831868/000095017025046200/icu-ex3_4.htm" TargetMode="External"/><Relationship Id="rId22" Type="http://schemas.openxmlformats.org/officeDocument/2006/relationships/hyperlink" Target="http://www.sec.gov/Archives/edgar/data/1831868/000092963824001521/exhibit3-1.htm" TargetMode="External"/><Relationship Id="rId23" Type="http://schemas.openxmlformats.org/officeDocument/2006/relationships/hyperlink" Target="http://www.sec.gov/Archives/edgar/data/1831868/000143774926020967/ex_977716.htm" TargetMode="External"/><Relationship Id="rId24" Type="http://schemas.openxmlformats.org/officeDocument/2006/relationships/hyperlink" Target="http://www.sec.gov/Archives/edgar/data/1831868/000143774926020967/ex_977716.htm" TargetMode="External"/><Relationship Id="rId25" Type="http://schemas.openxmlformats.org/officeDocument/2006/relationships/image" Target="media/image1.jpeg"/><Relationship Id="rId26" Type="http://schemas.openxmlformats.org/officeDocument/2006/relationships/fontTable" Target="fontTable.xml"/><Relationship Id="rId2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2737</Words>
  <Characters>14602</Characters>
  <CharactersWithSpaces>17452</CharactersWithSpaces>
  <Paragraphs>457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